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1A" w:rsidRPr="00912AD2" w:rsidRDefault="00646B9F" w:rsidP="0086579D">
      <w:pPr>
        <w:spacing w:line="600" w:lineRule="exact"/>
        <w:jc w:val="center"/>
        <w:rPr>
          <w:rFonts w:ascii="仿宋_GB2312" w:eastAsia="仿宋_GB2312" w:hAnsi="华文中宋" w:hint="eastAsia"/>
          <w:b/>
          <w:sz w:val="44"/>
          <w:szCs w:val="36"/>
        </w:rPr>
      </w:pPr>
      <w:r w:rsidRPr="00912AD2">
        <w:rPr>
          <w:rFonts w:ascii="仿宋_GB2312" w:eastAsia="仿宋_GB2312" w:hAnsi="华文中宋" w:hint="eastAsia"/>
          <w:b/>
          <w:sz w:val="44"/>
          <w:szCs w:val="36"/>
        </w:rPr>
        <w:t>复工复产企业疫情防控综合</w:t>
      </w:r>
      <w:r w:rsidR="00491181" w:rsidRPr="00912AD2">
        <w:rPr>
          <w:rFonts w:ascii="仿宋_GB2312" w:eastAsia="仿宋_GB2312" w:hAnsi="华文中宋" w:hint="eastAsia"/>
          <w:b/>
          <w:sz w:val="44"/>
          <w:szCs w:val="36"/>
        </w:rPr>
        <w:t>保障</w:t>
      </w:r>
    </w:p>
    <w:p w:rsidR="00094B1A" w:rsidRPr="00912AD2" w:rsidRDefault="00646B9F" w:rsidP="00094B1A">
      <w:pPr>
        <w:spacing w:line="600" w:lineRule="exact"/>
        <w:jc w:val="center"/>
        <w:rPr>
          <w:rFonts w:ascii="仿宋_GB2312" w:eastAsia="仿宋_GB2312" w:hAnsi="华文中宋" w:hint="eastAsia"/>
          <w:b/>
          <w:sz w:val="44"/>
          <w:szCs w:val="36"/>
        </w:rPr>
      </w:pPr>
      <w:r w:rsidRPr="00912AD2">
        <w:rPr>
          <w:rFonts w:ascii="仿宋_GB2312" w:eastAsia="仿宋_GB2312" w:hAnsi="华文中宋" w:hint="eastAsia"/>
          <w:b/>
          <w:sz w:val="44"/>
          <w:szCs w:val="36"/>
        </w:rPr>
        <w:t>保险</w:t>
      </w:r>
      <w:r w:rsidR="00094B1A" w:rsidRPr="00912AD2">
        <w:rPr>
          <w:rFonts w:ascii="仿宋_GB2312" w:eastAsia="仿宋_GB2312" w:hAnsi="华文中宋" w:hint="eastAsia"/>
          <w:b/>
          <w:sz w:val="44"/>
          <w:szCs w:val="36"/>
        </w:rPr>
        <w:t>方案</w:t>
      </w:r>
    </w:p>
    <w:p w:rsidR="00D417DB" w:rsidRPr="00912AD2" w:rsidRDefault="00D417DB" w:rsidP="0086579D">
      <w:pPr>
        <w:spacing w:line="600" w:lineRule="exact"/>
        <w:jc w:val="center"/>
        <w:rPr>
          <w:rFonts w:ascii="仿宋_GB2312" w:eastAsia="仿宋_GB2312" w:hAnsi="华文中宋" w:hint="eastAsia"/>
          <w:b/>
          <w:sz w:val="44"/>
          <w:szCs w:val="36"/>
        </w:rPr>
      </w:pPr>
    </w:p>
    <w:p w:rsidR="00491181" w:rsidRPr="00912AD2" w:rsidRDefault="00076454" w:rsidP="00E328D1">
      <w:pPr>
        <w:spacing w:line="600" w:lineRule="exact"/>
        <w:ind w:firstLineChars="200" w:firstLine="640"/>
        <w:rPr>
          <w:rFonts w:ascii="仿宋_GB2312" w:eastAsia="仿宋_GB2312" w:hAnsi="华文仿宋" w:hint="eastAsia"/>
          <w:b/>
          <w:sz w:val="32"/>
          <w:szCs w:val="32"/>
        </w:rPr>
      </w:pPr>
      <w:r w:rsidRPr="00912AD2">
        <w:rPr>
          <w:rFonts w:ascii="仿宋_GB2312" w:eastAsia="仿宋_GB2312" w:hAnsi="华文仿宋" w:hint="eastAsia"/>
          <w:sz w:val="32"/>
          <w:szCs w:val="32"/>
        </w:rPr>
        <w:t>为了全力助推我</w:t>
      </w:r>
      <w:r w:rsidR="00094B1A" w:rsidRPr="00912AD2">
        <w:rPr>
          <w:rFonts w:ascii="仿宋_GB2312" w:eastAsia="仿宋_GB2312" w:hAnsi="华文仿宋" w:hint="eastAsia"/>
          <w:sz w:val="32"/>
          <w:szCs w:val="32"/>
        </w:rPr>
        <w:t>市</w:t>
      </w:r>
      <w:r w:rsidRPr="00912AD2">
        <w:rPr>
          <w:rFonts w:ascii="仿宋_GB2312" w:eastAsia="仿宋_GB2312" w:hAnsi="华文仿宋" w:hint="eastAsia"/>
          <w:sz w:val="32"/>
          <w:szCs w:val="32"/>
        </w:rPr>
        <w:t>防疫工作取得双胜利，解决复工复产企业的后顾之忧，结合我省实际，本着简单化、易操作原则，推出本保险。</w:t>
      </w:r>
    </w:p>
    <w:p w:rsidR="00CF1631" w:rsidRPr="00912AD2" w:rsidRDefault="00FA673D" w:rsidP="0086579D">
      <w:pPr>
        <w:spacing w:line="600" w:lineRule="exact"/>
        <w:rPr>
          <w:rFonts w:ascii="仿宋_GB2312" w:eastAsia="仿宋_GB2312" w:hAnsi="华文仿宋" w:hint="eastAsia"/>
          <w:sz w:val="32"/>
          <w:szCs w:val="32"/>
        </w:rPr>
      </w:pPr>
      <w:r w:rsidRPr="00912AD2">
        <w:rPr>
          <w:rFonts w:ascii="仿宋_GB2312" w:eastAsia="仿宋_GB2312" w:hAnsi="华文仿宋" w:hint="eastAsia"/>
          <w:b/>
          <w:sz w:val="32"/>
          <w:szCs w:val="32"/>
        </w:rPr>
        <w:t>一、保障</w:t>
      </w:r>
      <w:r w:rsidR="00762E9E" w:rsidRPr="00912AD2">
        <w:rPr>
          <w:rFonts w:ascii="仿宋_GB2312" w:eastAsia="仿宋_GB2312" w:hAnsi="华文仿宋" w:hint="eastAsia"/>
          <w:b/>
          <w:sz w:val="32"/>
          <w:szCs w:val="32"/>
        </w:rPr>
        <w:t>对象：</w:t>
      </w:r>
      <w:r w:rsidR="00CF1631" w:rsidRPr="00912AD2">
        <w:rPr>
          <w:rFonts w:ascii="仿宋_GB2312" w:eastAsia="仿宋_GB2312" w:hAnsi="华文仿宋" w:hint="eastAsia"/>
          <w:sz w:val="32"/>
          <w:szCs w:val="32"/>
        </w:rPr>
        <w:t>完全满足当地政府复产条件且政府鼓励复产的企业。</w:t>
      </w:r>
    </w:p>
    <w:p w:rsidR="00646B9F" w:rsidRPr="00912AD2" w:rsidRDefault="00FA673D" w:rsidP="0086579D">
      <w:pPr>
        <w:spacing w:line="600" w:lineRule="exact"/>
        <w:rPr>
          <w:rFonts w:ascii="仿宋_GB2312" w:eastAsia="仿宋_GB2312" w:hAnsi="华文仿宋" w:hint="eastAsia"/>
          <w:sz w:val="32"/>
          <w:szCs w:val="32"/>
        </w:rPr>
      </w:pPr>
      <w:r w:rsidRPr="00912AD2">
        <w:rPr>
          <w:rFonts w:ascii="仿宋_GB2312" w:eastAsia="仿宋_GB2312" w:hAnsi="华文仿宋" w:hint="eastAsia"/>
          <w:b/>
          <w:sz w:val="32"/>
          <w:szCs w:val="32"/>
        </w:rPr>
        <w:t>二、</w:t>
      </w:r>
      <w:r w:rsidR="00646B9F" w:rsidRPr="00912AD2">
        <w:rPr>
          <w:rFonts w:ascii="仿宋_GB2312" w:eastAsia="仿宋_GB2312" w:hAnsi="华文仿宋" w:hint="eastAsia"/>
          <w:b/>
          <w:sz w:val="32"/>
          <w:szCs w:val="32"/>
        </w:rPr>
        <w:t>保险期限：</w:t>
      </w:r>
      <w:r w:rsidR="00B51647" w:rsidRPr="00912AD2">
        <w:rPr>
          <w:rFonts w:ascii="仿宋_GB2312" w:eastAsia="仿宋_GB2312" w:hAnsi="华文仿宋" w:hint="eastAsia"/>
          <w:sz w:val="32"/>
          <w:szCs w:val="32"/>
        </w:rPr>
        <w:t>最长</w:t>
      </w:r>
      <w:r w:rsidR="00D75C1C" w:rsidRPr="00912AD2">
        <w:rPr>
          <w:rFonts w:ascii="仿宋_GB2312" w:eastAsia="仿宋_GB2312" w:hAnsi="华文仿宋" w:hint="eastAsia"/>
          <w:sz w:val="32"/>
          <w:szCs w:val="32"/>
        </w:rPr>
        <w:t>6个月</w:t>
      </w:r>
    </w:p>
    <w:p w:rsidR="00646B9F" w:rsidRPr="00912AD2" w:rsidRDefault="00FA673D" w:rsidP="0086579D">
      <w:pPr>
        <w:spacing w:line="600" w:lineRule="exact"/>
        <w:rPr>
          <w:rFonts w:ascii="仿宋_GB2312" w:eastAsia="仿宋_GB2312" w:hAnsi="华文仿宋" w:hint="eastAsia"/>
          <w:sz w:val="32"/>
          <w:szCs w:val="32"/>
        </w:rPr>
      </w:pPr>
      <w:r w:rsidRPr="00912AD2">
        <w:rPr>
          <w:rFonts w:ascii="仿宋_GB2312" w:eastAsia="仿宋_GB2312" w:hAnsi="华文仿宋" w:hint="eastAsia"/>
          <w:b/>
          <w:sz w:val="32"/>
          <w:szCs w:val="32"/>
        </w:rPr>
        <w:t>三、</w:t>
      </w:r>
      <w:r w:rsidR="00646B9F" w:rsidRPr="00912AD2">
        <w:rPr>
          <w:rFonts w:ascii="仿宋_GB2312" w:eastAsia="仿宋_GB2312" w:hAnsi="华文仿宋" w:hint="eastAsia"/>
          <w:b/>
          <w:sz w:val="32"/>
          <w:szCs w:val="32"/>
        </w:rPr>
        <w:t>保险责任：</w:t>
      </w:r>
      <w:r w:rsidR="00646B9F" w:rsidRPr="00912AD2">
        <w:rPr>
          <w:rFonts w:ascii="仿宋_GB2312" w:eastAsia="仿宋_GB2312" w:hAnsi="华文仿宋" w:hint="eastAsia"/>
          <w:sz w:val="32"/>
          <w:szCs w:val="32"/>
        </w:rPr>
        <w:t>保险人</w:t>
      </w:r>
      <w:r w:rsidR="00B51647" w:rsidRPr="00912AD2">
        <w:rPr>
          <w:rFonts w:ascii="仿宋_GB2312" w:eastAsia="仿宋_GB2312" w:hAnsi="华文仿宋" w:hint="eastAsia"/>
          <w:sz w:val="32"/>
          <w:szCs w:val="32"/>
        </w:rPr>
        <w:t>主要</w:t>
      </w:r>
      <w:r w:rsidR="00646B9F" w:rsidRPr="00912AD2">
        <w:rPr>
          <w:rFonts w:ascii="仿宋_GB2312" w:eastAsia="仿宋_GB2312" w:hAnsi="华文仿宋" w:hint="eastAsia"/>
          <w:sz w:val="32"/>
          <w:szCs w:val="32"/>
        </w:rPr>
        <w:t>负责赔偿被保险人在保险地点范围内由于发生法定传染病（包括新型冠状病毒肺炎）疫情导致企业应政府要求停工停产，造成</w:t>
      </w:r>
      <w:r w:rsidR="00B51647" w:rsidRPr="00912AD2">
        <w:rPr>
          <w:rFonts w:ascii="仿宋_GB2312" w:eastAsia="仿宋_GB2312" w:hAnsi="华文仿宋" w:hint="eastAsia"/>
          <w:sz w:val="32"/>
          <w:szCs w:val="32"/>
        </w:rPr>
        <w:t>的企业需要继续支出的</w:t>
      </w:r>
      <w:r w:rsidR="00332311" w:rsidRPr="00912AD2">
        <w:rPr>
          <w:rFonts w:ascii="仿宋_GB2312" w:eastAsia="仿宋_GB2312" w:hAnsi="华文仿宋" w:hint="eastAsia"/>
          <w:b/>
          <w:sz w:val="32"/>
          <w:szCs w:val="32"/>
        </w:rPr>
        <w:t>被隔离雇员的工资及隔离费用支出</w:t>
      </w:r>
      <w:r w:rsidR="00646B9F" w:rsidRPr="00912AD2">
        <w:rPr>
          <w:rFonts w:ascii="仿宋_GB2312" w:eastAsia="仿宋_GB2312" w:hAnsi="华文仿宋" w:hint="eastAsia"/>
          <w:sz w:val="32"/>
          <w:szCs w:val="32"/>
        </w:rPr>
        <w:t xml:space="preserve">。（详见特别约定） </w:t>
      </w:r>
    </w:p>
    <w:p w:rsidR="00646B9F" w:rsidRPr="00912AD2" w:rsidRDefault="00FA673D" w:rsidP="0086579D">
      <w:pPr>
        <w:spacing w:line="600" w:lineRule="exact"/>
        <w:rPr>
          <w:rFonts w:ascii="仿宋_GB2312" w:eastAsia="仿宋_GB2312" w:hAnsi="华文仿宋" w:hint="eastAsia"/>
          <w:b/>
          <w:color w:val="000000" w:themeColor="text1"/>
          <w:sz w:val="32"/>
          <w:szCs w:val="32"/>
        </w:rPr>
      </w:pPr>
      <w:r w:rsidRPr="00912AD2">
        <w:rPr>
          <w:rFonts w:ascii="仿宋_GB2312" w:eastAsia="仿宋_GB2312" w:hAnsi="华文仿宋" w:hint="eastAsia"/>
          <w:b/>
          <w:color w:val="000000" w:themeColor="text1"/>
          <w:sz w:val="32"/>
          <w:szCs w:val="32"/>
        </w:rPr>
        <w:t>四、具体</w:t>
      </w:r>
      <w:r w:rsidR="00646B9F" w:rsidRPr="00912AD2">
        <w:rPr>
          <w:rFonts w:ascii="仿宋_GB2312" w:eastAsia="仿宋_GB2312" w:hAnsi="华文仿宋" w:hint="eastAsia"/>
          <w:b/>
          <w:color w:val="000000" w:themeColor="text1"/>
          <w:sz w:val="32"/>
          <w:szCs w:val="32"/>
        </w:rPr>
        <w:t xml:space="preserve">承保条件： </w:t>
      </w:r>
    </w:p>
    <w:tbl>
      <w:tblPr>
        <w:tblW w:w="7792" w:type="dxa"/>
        <w:jc w:val="center"/>
        <w:tblLook w:val="04A0"/>
      </w:tblPr>
      <w:tblGrid>
        <w:gridCol w:w="1057"/>
        <w:gridCol w:w="1432"/>
        <w:gridCol w:w="1277"/>
        <w:gridCol w:w="1474"/>
        <w:gridCol w:w="1418"/>
        <w:gridCol w:w="1134"/>
      </w:tblGrid>
      <w:tr w:rsidR="00FD3A2D" w:rsidRPr="00912AD2" w:rsidTr="00FD3A2D">
        <w:trPr>
          <w:trHeight w:val="540"/>
          <w:jc w:val="center"/>
        </w:trPr>
        <w:tc>
          <w:tcPr>
            <w:tcW w:w="1057" w:type="dxa"/>
            <w:tcBorders>
              <w:top w:val="single" w:sz="4" w:space="0" w:color="auto"/>
              <w:left w:val="single" w:sz="4" w:space="0" w:color="auto"/>
              <w:bottom w:val="single" w:sz="4" w:space="0" w:color="auto"/>
              <w:right w:val="single" w:sz="4" w:space="0" w:color="auto"/>
            </w:tcBorders>
            <w:vAlign w:val="center"/>
          </w:tcPr>
          <w:p w:rsidR="00FD3A2D" w:rsidRPr="00912AD2" w:rsidRDefault="00FD3A2D" w:rsidP="0086579D">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方案</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A2D" w:rsidRPr="00912AD2" w:rsidRDefault="00FD3A2D" w:rsidP="0086579D">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企业规模</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86579D">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被保险人</w:t>
            </w:r>
          </w:p>
          <w:p w:rsidR="00FD3A2D" w:rsidRPr="00912AD2" w:rsidRDefault="00FD3A2D" w:rsidP="0086579D">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标的</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FD3A2D" w:rsidRPr="00912AD2" w:rsidRDefault="00FD3A2D" w:rsidP="0086579D">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保险金额</w:t>
            </w:r>
            <w:r w:rsidRPr="00912AD2">
              <w:rPr>
                <w:rFonts w:ascii="仿宋_GB2312" w:eastAsia="仿宋_GB2312" w:hAnsi="华文仿宋" w:cs="宋体" w:hint="eastAsia"/>
                <w:b/>
                <w:bCs/>
                <w:color w:val="000000"/>
                <w:kern w:val="0"/>
                <w:sz w:val="22"/>
              </w:rPr>
              <w:br/>
              <w:t>（万元）</w:t>
            </w:r>
          </w:p>
        </w:tc>
        <w:tc>
          <w:tcPr>
            <w:tcW w:w="141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FD3A2D" w:rsidRPr="00912AD2" w:rsidRDefault="00FD3A2D" w:rsidP="0086579D">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保费</w:t>
            </w:r>
          </w:p>
          <w:p w:rsidR="00FD3A2D" w:rsidRPr="00912AD2" w:rsidRDefault="00FD3A2D" w:rsidP="0086579D">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3A2D" w:rsidRPr="00912AD2" w:rsidRDefault="00FD3A2D" w:rsidP="0086579D">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赔偿限额</w:t>
            </w:r>
            <w:r w:rsidRPr="00912AD2">
              <w:rPr>
                <w:rFonts w:ascii="仿宋_GB2312" w:eastAsia="仿宋_GB2312" w:hAnsi="华文仿宋" w:cs="宋体" w:hint="eastAsia"/>
                <w:b/>
                <w:bCs/>
                <w:color w:val="000000"/>
                <w:kern w:val="0"/>
                <w:sz w:val="22"/>
              </w:rPr>
              <w:br/>
              <w:t>（万元）</w:t>
            </w:r>
          </w:p>
        </w:tc>
      </w:tr>
      <w:tr w:rsidR="00FD3A2D" w:rsidRPr="00912AD2" w:rsidTr="00FD3A2D">
        <w:trPr>
          <w:trHeight w:val="540"/>
          <w:jc w:val="center"/>
        </w:trPr>
        <w:tc>
          <w:tcPr>
            <w:tcW w:w="1057" w:type="dxa"/>
            <w:vMerge w:val="restart"/>
            <w:tcBorders>
              <w:top w:val="single" w:sz="4" w:space="0" w:color="auto"/>
              <w:left w:val="single" w:sz="4" w:space="0" w:color="auto"/>
              <w:right w:val="single" w:sz="4" w:space="0" w:color="auto"/>
            </w:tcBorders>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方案一</w:t>
            </w:r>
          </w:p>
        </w:tc>
        <w:tc>
          <w:tcPr>
            <w:tcW w:w="1432" w:type="dxa"/>
            <w:vMerge w:val="restart"/>
            <w:tcBorders>
              <w:top w:val="single" w:sz="4" w:space="0" w:color="auto"/>
              <w:left w:val="single" w:sz="4" w:space="0" w:color="auto"/>
              <w:right w:val="single" w:sz="4" w:space="0" w:color="auto"/>
            </w:tcBorders>
            <w:shd w:val="clear" w:color="auto" w:fill="auto"/>
            <w:vAlign w:val="center"/>
          </w:tcPr>
          <w:p w:rsidR="00FD3A2D" w:rsidRPr="00912AD2" w:rsidRDefault="00FD3A2D" w:rsidP="00902FDD">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大型企业</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Cs/>
                <w:color w:val="000000"/>
                <w:kern w:val="0"/>
                <w:sz w:val="22"/>
              </w:rPr>
            </w:pPr>
            <w:r w:rsidRPr="00912AD2">
              <w:rPr>
                <w:rFonts w:ascii="仿宋_GB2312" w:eastAsia="仿宋_GB2312" w:hAnsi="华文仿宋" w:cs="宋体" w:hint="eastAsia"/>
                <w:bCs/>
                <w:color w:val="000000"/>
                <w:kern w:val="0"/>
                <w:sz w:val="22"/>
              </w:rPr>
              <w:t>固定资产及在产品</w:t>
            </w:r>
          </w:p>
        </w:tc>
        <w:tc>
          <w:tcPr>
            <w:tcW w:w="1474" w:type="dxa"/>
            <w:tcBorders>
              <w:top w:val="single" w:sz="4" w:space="0" w:color="auto"/>
              <w:left w:val="nil"/>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30</w:t>
            </w:r>
          </w:p>
        </w:tc>
        <w:tc>
          <w:tcPr>
            <w:tcW w:w="1418" w:type="dxa"/>
            <w:vMerge w:val="restart"/>
            <w:tcBorders>
              <w:top w:val="single" w:sz="4" w:space="0" w:color="auto"/>
              <w:left w:val="nil"/>
              <w:right w:val="single" w:sz="4" w:space="0" w:color="auto"/>
            </w:tcBorders>
            <w:shd w:val="clear" w:color="auto" w:fill="E2EFD9" w:themeFill="accent6" w:themeFillTint="33"/>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12</w:t>
            </w:r>
          </w:p>
        </w:tc>
        <w:tc>
          <w:tcPr>
            <w:tcW w:w="1134" w:type="dxa"/>
            <w:vMerge w:val="restart"/>
            <w:tcBorders>
              <w:top w:val="single" w:sz="4" w:space="0" w:color="auto"/>
              <w:left w:val="nil"/>
              <w:right w:val="single" w:sz="4" w:space="0" w:color="auto"/>
            </w:tcBorders>
            <w:shd w:val="clear" w:color="auto" w:fill="auto"/>
            <w:vAlign w:val="center"/>
          </w:tcPr>
          <w:p w:rsidR="00FD3A2D" w:rsidRPr="00912AD2" w:rsidRDefault="00FD3A2D" w:rsidP="00AA6FB0">
            <w:pPr>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200</w:t>
            </w:r>
          </w:p>
        </w:tc>
        <w:bookmarkStart w:id="0" w:name="_GoBack"/>
        <w:bookmarkEnd w:id="0"/>
      </w:tr>
      <w:tr w:rsidR="00FD3A2D" w:rsidRPr="00912AD2" w:rsidTr="00FD3A2D">
        <w:trPr>
          <w:trHeight w:val="540"/>
          <w:jc w:val="center"/>
        </w:trPr>
        <w:tc>
          <w:tcPr>
            <w:tcW w:w="1057" w:type="dxa"/>
            <w:vMerge/>
            <w:tcBorders>
              <w:left w:val="single" w:sz="4" w:space="0" w:color="auto"/>
              <w:right w:val="single" w:sz="4" w:space="0" w:color="auto"/>
            </w:tcBorders>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c>
          <w:tcPr>
            <w:tcW w:w="1432" w:type="dxa"/>
            <w:vMerge/>
            <w:tcBorders>
              <w:left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color w:val="000000"/>
                <w:kern w:val="0"/>
                <w:sz w:val="22"/>
              </w:rPr>
            </w:pPr>
            <w:r w:rsidRPr="00912AD2">
              <w:rPr>
                <w:rFonts w:ascii="仿宋_GB2312" w:eastAsia="仿宋_GB2312" w:hAnsi="华文仿宋" w:cs="宋体" w:hint="eastAsia"/>
                <w:color w:val="000000"/>
                <w:kern w:val="0"/>
                <w:sz w:val="22"/>
              </w:rPr>
              <w:t>雇员工资</w:t>
            </w:r>
          </w:p>
        </w:tc>
        <w:tc>
          <w:tcPr>
            <w:tcW w:w="1474" w:type="dxa"/>
            <w:vMerge w:val="restart"/>
            <w:tcBorders>
              <w:top w:val="single" w:sz="4" w:space="0" w:color="auto"/>
              <w:left w:val="nil"/>
              <w:right w:val="single" w:sz="4" w:space="0" w:color="auto"/>
            </w:tcBorders>
            <w:shd w:val="clear" w:color="auto" w:fill="auto"/>
            <w:vAlign w:val="center"/>
          </w:tcPr>
          <w:p w:rsidR="00FD3A2D" w:rsidRPr="00912AD2" w:rsidRDefault="00FD3A2D" w:rsidP="00E328D1">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170</w:t>
            </w:r>
          </w:p>
        </w:tc>
        <w:tc>
          <w:tcPr>
            <w:tcW w:w="1418" w:type="dxa"/>
            <w:vMerge/>
            <w:tcBorders>
              <w:left w:val="nil"/>
              <w:right w:val="single" w:sz="4" w:space="0" w:color="auto"/>
            </w:tcBorders>
            <w:shd w:val="clear" w:color="auto" w:fill="E2EFD9" w:themeFill="accent6" w:themeFillTint="33"/>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c>
          <w:tcPr>
            <w:tcW w:w="1134" w:type="dxa"/>
            <w:vMerge/>
            <w:tcBorders>
              <w:left w:val="nil"/>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r>
      <w:tr w:rsidR="00FD3A2D" w:rsidRPr="00912AD2" w:rsidTr="00FD3A2D">
        <w:trPr>
          <w:trHeight w:val="540"/>
          <w:jc w:val="center"/>
        </w:trPr>
        <w:tc>
          <w:tcPr>
            <w:tcW w:w="1057" w:type="dxa"/>
            <w:vMerge/>
            <w:tcBorders>
              <w:left w:val="single" w:sz="4" w:space="0" w:color="auto"/>
              <w:bottom w:val="single" w:sz="4" w:space="0" w:color="auto"/>
              <w:right w:val="single" w:sz="4" w:space="0" w:color="auto"/>
            </w:tcBorders>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c>
          <w:tcPr>
            <w:tcW w:w="1432" w:type="dxa"/>
            <w:vMerge/>
            <w:tcBorders>
              <w:left w:val="single" w:sz="4" w:space="0" w:color="auto"/>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color w:val="000000"/>
                <w:kern w:val="0"/>
                <w:sz w:val="22"/>
              </w:rPr>
            </w:pPr>
            <w:r w:rsidRPr="00912AD2">
              <w:rPr>
                <w:rFonts w:ascii="仿宋_GB2312" w:eastAsia="仿宋_GB2312" w:hAnsi="华文仿宋" w:cs="宋体" w:hint="eastAsia"/>
                <w:color w:val="000000"/>
                <w:kern w:val="0"/>
                <w:sz w:val="22"/>
              </w:rPr>
              <w:t>隔离费用</w:t>
            </w:r>
          </w:p>
        </w:tc>
        <w:tc>
          <w:tcPr>
            <w:tcW w:w="1474" w:type="dxa"/>
            <w:vMerge/>
            <w:tcBorders>
              <w:left w:val="nil"/>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c>
          <w:tcPr>
            <w:tcW w:w="1418" w:type="dxa"/>
            <w:vMerge/>
            <w:tcBorders>
              <w:left w:val="nil"/>
              <w:bottom w:val="single" w:sz="4" w:space="0" w:color="auto"/>
              <w:right w:val="single" w:sz="4" w:space="0" w:color="auto"/>
            </w:tcBorders>
            <w:shd w:val="clear" w:color="auto" w:fill="E2EFD9" w:themeFill="accent6" w:themeFillTint="33"/>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c>
          <w:tcPr>
            <w:tcW w:w="1134" w:type="dxa"/>
            <w:vMerge/>
            <w:tcBorders>
              <w:left w:val="nil"/>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r>
      <w:tr w:rsidR="00FD3A2D" w:rsidRPr="00912AD2" w:rsidTr="00FD3A2D">
        <w:trPr>
          <w:trHeight w:val="540"/>
          <w:jc w:val="center"/>
        </w:trPr>
        <w:tc>
          <w:tcPr>
            <w:tcW w:w="1057" w:type="dxa"/>
            <w:tcBorders>
              <w:top w:val="single" w:sz="4" w:space="0" w:color="auto"/>
              <w:left w:val="single" w:sz="4" w:space="0" w:color="auto"/>
              <w:right w:val="single" w:sz="4" w:space="0" w:color="auto"/>
            </w:tcBorders>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c>
          <w:tcPr>
            <w:tcW w:w="1432" w:type="dxa"/>
            <w:vMerge w:val="restart"/>
            <w:tcBorders>
              <w:top w:val="single" w:sz="4" w:space="0" w:color="auto"/>
              <w:left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中型企业</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Cs/>
                <w:color w:val="000000"/>
                <w:kern w:val="0"/>
                <w:sz w:val="22"/>
              </w:rPr>
            </w:pPr>
            <w:r w:rsidRPr="00912AD2">
              <w:rPr>
                <w:rFonts w:ascii="仿宋_GB2312" w:eastAsia="仿宋_GB2312" w:hAnsi="华文仿宋" w:cs="宋体" w:hint="eastAsia"/>
                <w:bCs/>
                <w:color w:val="000000"/>
                <w:kern w:val="0"/>
                <w:sz w:val="22"/>
              </w:rPr>
              <w:t>固定资产</w:t>
            </w:r>
          </w:p>
        </w:tc>
        <w:tc>
          <w:tcPr>
            <w:tcW w:w="1474" w:type="dxa"/>
            <w:tcBorders>
              <w:top w:val="single" w:sz="4" w:space="0" w:color="auto"/>
              <w:left w:val="nil"/>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20</w:t>
            </w:r>
          </w:p>
        </w:tc>
        <w:tc>
          <w:tcPr>
            <w:tcW w:w="1418" w:type="dxa"/>
            <w:vMerge w:val="restart"/>
            <w:tcBorders>
              <w:top w:val="single" w:sz="4" w:space="0" w:color="auto"/>
              <w:left w:val="nil"/>
              <w:right w:val="single" w:sz="4" w:space="0" w:color="auto"/>
            </w:tcBorders>
            <w:shd w:val="clear" w:color="auto" w:fill="E2EFD9" w:themeFill="accent6" w:themeFillTint="33"/>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10</w:t>
            </w:r>
          </w:p>
        </w:tc>
        <w:tc>
          <w:tcPr>
            <w:tcW w:w="1134" w:type="dxa"/>
            <w:vMerge w:val="restart"/>
            <w:tcBorders>
              <w:top w:val="single" w:sz="4" w:space="0" w:color="auto"/>
              <w:left w:val="nil"/>
              <w:right w:val="single" w:sz="4" w:space="0" w:color="auto"/>
            </w:tcBorders>
            <w:shd w:val="clear" w:color="auto" w:fill="auto"/>
            <w:vAlign w:val="center"/>
          </w:tcPr>
          <w:p w:rsidR="00FD3A2D" w:rsidRPr="00912AD2" w:rsidRDefault="00FD3A2D" w:rsidP="00E328D1">
            <w:pPr>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160</w:t>
            </w:r>
          </w:p>
        </w:tc>
      </w:tr>
      <w:tr w:rsidR="00FD3A2D" w:rsidRPr="00912AD2" w:rsidTr="00FD3A2D">
        <w:trPr>
          <w:trHeight w:val="540"/>
          <w:jc w:val="center"/>
        </w:trPr>
        <w:tc>
          <w:tcPr>
            <w:tcW w:w="1057" w:type="dxa"/>
            <w:tcBorders>
              <w:left w:val="single" w:sz="4" w:space="0" w:color="auto"/>
              <w:right w:val="single" w:sz="4" w:space="0" w:color="auto"/>
            </w:tcBorders>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方案二</w:t>
            </w:r>
          </w:p>
        </w:tc>
        <w:tc>
          <w:tcPr>
            <w:tcW w:w="1432" w:type="dxa"/>
            <w:vMerge/>
            <w:tcBorders>
              <w:left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color w:val="000000"/>
                <w:kern w:val="0"/>
                <w:sz w:val="22"/>
              </w:rPr>
            </w:pPr>
            <w:r w:rsidRPr="00912AD2">
              <w:rPr>
                <w:rFonts w:ascii="仿宋_GB2312" w:eastAsia="仿宋_GB2312" w:hAnsi="华文仿宋" w:cs="宋体" w:hint="eastAsia"/>
                <w:color w:val="000000"/>
                <w:kern w:val="0"/>
                <w:sz w:val="22"/>
              </w:rPr>
              <w:t>雇员工资</w:t>
            </w:r>
          </w:p>
        </w:tc>
        <w:tc>
          <w:tcPr>
            <w:tcW w:w="1474" w:type="dxa"/>
            <w:vMerge w:val="restart"/>
            <w:tcBorders>
              <w:top w:val="single" w:sz="4" w:space="0" w:color="auto"/>
              <w:left w:val="nil"/>
              <w:right w:val="single" w:sz="4" w:space="0" w:color="auto"/>
            </w:tcBorders>
            <w:shd w:val="clear" w:color="auto" w:fill="auto"/>
            <w:vAlign w:val="center"/>
          </w:tcPr>
          <w:p w:rsidR="00FD3A2D" w:rsidRPr="00912AD2" w:rsidRDefault="00FD3A2D" w:rsidP="00E328D1">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140</w:t>
            </w:r>
          </w:p>
        </w:tc>
        <w:tc>
          <w:tcPr>
            <w:tcW w:w="1418" w:type="dxa"/>
            <w:vMerge/>
            <w:tcBorders>
              <w:left w:val="nil"/>
              <w:right w:val="single" w:sz="4" w:space="0" w:color="auto"/>
            </w:tcBorders>
            <w:shd w:val="clear" w:color="auto" w:fill="E2EFD9" w:themeFill="accent6" w:themeFillTint="33"/>
            <w:vAlign w:val="center"/>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c>
          <w:tcPr>
            <w:tcW w:w="1134" w:type="dxa"/>
            <w:vMerge/>
            <w:tcBorders>
              <w:left w:val="nil"/>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r>
      <w:tr w:rsidR="00FD3A2D" w:rsidRPr="00912AD2" w:rsidTr="00FD3A2D">
        <w:trPr>
          <w:trHeight w:val="540"/>
          <w:jc w:val="center"/>
        </w:trPr>
        <w:tc>
          <w:tcPr>
            <w:tcW w:w="1057" w:type="dxa"/>
            <w:tcBorders>
              <w:left w:val="single" w:sz="4" w:space="0" w:color="auto"/>
              <w:bottom w:val="single" w:sz="4" w:space="0" w:color="auto"/>
              <w:right w:val="single" w:sz="4" w:space="0" w:color="auto"/>
            </w:tcBorders>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c>
          <w:tcPr>
            <w:tcW w:w="1432" w:type="dxa"/>
            <w:vMerge/>
            <w:tcBorders>
              <w:left w:val="single" w:sz="4" w:space="0" w:color="auto"/>
              <w:bottom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color w:val="000000"/>
                <w:kern w:val="0"/>
                <w:sz w:val="22"/>
              </w:rPr>
            </w:pPr>
            <w:r w:rsidRPr="00912AD2">
              <w:rPr>
                <w:rFonts w:ascii="仿宋_GB2312" w:eastAsia="仿宋_GB2312" w:hAnsi="华文仿宋" w:cs="宋体" w:hint="eastAsia"/>
                <w:color w:val="000000"/>
                <w:kern w:val="0"/>
                <w:sz w:val="22"/>
              </w:rPr>
              <w:t>隔离费用</w:t>
            </w:r>
          </w:p>
        </w:tc>
        <w:tc>
          <w:tcPr>
            <w:tcW w:w="1474" w:type="dxa"/>
            <w:vMerge/>
            <w:tcBorders>
              <w:left w:val="nil"/>
              <w:bottom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c>
          <w:tcPr>
            <w:tcW w:w="1418" w:type="dxa"/>
            <w:vMerge/>
            <w:tcBorders>
              <w:left w:val="nil"/>
              <w:bottom w:val="single" w:sz="4" w:space="0" w:color="auto"/>
              <w:right w:val="single" w:sz="4" w:space="0" w:color="auto"/>
            </w:tcBorders>
            <w:shd w:val="clear" w:color="auto" w:fill="E2EFD9" w:themeFill="accent6" w:themeFillTint="33"/>
            <w:vAlign w:val="center"/>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c>
          <w:tcPr>
            <w:tcW w:w="1134" w:type="dxa"/>
            <w:vMerge/>
            <w:tcBorders>
              <w:left w:val="nil"/>
              <w:bottom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r>
      <w:tr w:rsidR="00FD3A2D" w:rsidRPr="00912AD2" w:rsidTr="00FD3A2D">
        <w:trPr>
          <w:trHeight w:val="540"/>
          <w:jc w:val="center"/>
        </w:trPr>
        <w:tc>
          <w:tcPr>
            <w:tcW w:w="1057" w:type="dxa"/>
            <w:tcBorders>
              <w:top w:val="single" w:sz="4" w:space="0" w:color="auto"/>
              <w:left w:val="single" w:sz="4" w:space="0" w:color="auto"/>
              <w:right w:val="single" w:sz="4" w:space="0" w:color="auto"/>
            </w:tcBorders>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p>
        </w:tc>
        <w:tc>
          <w:tcPr>
            <w:tcW w:w="1432" w:type="dxa"/>
            <w:vMerge w:val="restart"/>
            <w:tcBorders>
              <w:top w:val="single" w:sz="4" w:space="0" w:color="auto"/>
              <w:left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小型企业</w:t>
            </w:r>
          </w:p>
          <w:p w:rsidR="00FD3A2D" w:rsidRPr="00912AD2" w:rsidRDefault="00FD3A2D" w:rsidP="001161E3">
            <w:pPr>
              <w:widowControl/>
              <w:spacing w:line="600" w:lineRule="exact"/>
              <w:jc w:val="center"/>
              <w:rPr>
                <w:rFonts w:ascii="仿宋_GB2312" w:eastAsia="仿宋_GB2312" w:hAnsi="华文仿宋" w:cs="宋体" w:hint="eastAsia"/>
                <w:bCs/>
                <w:color w:val="000000"/>
                <w:kern w:val="0"/>
                <w:sz w:val="22"/>
              </w:rPr>
            </w:pPr>
            <w:r w:rsidRPr="00912AD2">
              <w:rPr>
                <w:rFonts w:ascii="仿宋_GB2312" w:eastAsia="仿宋_GB2312" w:hAnsi="华文仿宋" w:cs="宋体" w:hint="eastAsia"/>
                <w:b/>
                <w:bCs/>
                <w:color w:val="000000"/>
                <w:kern w:val="0"/>
                <w:sz w:val="22"/>
              </w:rPr>
              <w:t>及以下</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Cs/>
                <w:color w:val="000000"/>
                <w:kern w:val="0"/>
                <w:sz w:val="22"/>
              </w:rPr>
            </w:pPr>
            <w:r w:rsidRPr="00912AD2">
              <w:rPr>
                <w:rFonts w:ascii="仿宋_GB2312" w:eastAsia="仿宋_GB2312" w:hAnsi="华文仿宋" w:cs="宋体" w:hint="eastAsia"/>
                <w:bCs/>
                <w:color w:val="000000"/>
                <w:kern w:val="0"/>
                <w:sz w:val="22"/>
              </w:rPr>
              <w:t>固定资产</w:t>
            </w:r>
          </w:p>
        </w:tc>
        <w:tc>
          <w:tcPr>
            <w:tcW w:w="1474" w:type="dxa"/>
            <w:tcBorders>
              <w:top w:val="single" w:sz="4" w:space="0" w:color="auto"/>
              <w:left w:val="nil"/>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10</w:t>
            </w:r>
          </w:p>
        </w:tc>
        <w:tc>
          <w:tcPr>
            <w:tcW w:w="1418" w:type="dxa"/>
            <w:vMerge w:val="restart"/>
            <w:tcBorders>
              <w:top w:val="single" w:sz="4" w:space="0" w:color="auto"/>
              <w:left w:val="nil"/>
              <w:right w:val="single" w:sz="4" w:space="0" w:color="auto"/>
            </w:tcBorders>
            <w:shd w:val="clear" w:color="auto" w:fill="E2EFD9" w:themeFill="accent6" w:themeFillTint="33"/>
            <w:vAlign w:val="center"/>
          </w:tcPr>
          <w:p w:rsidR="00FD3A2D" w:rsidRPr="00912AD2" w:rsidRDefault="00FD3A2D" w:rsidP="00E328D1">
            <w:pPr>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bCs/>
                <w:color w:val="000000"/>
                <w:kern w:val="0"/>
                <w:sz w:val="22"/>
              </w:rPr>
              <w:t>8</w:t>
            </w:r>
          </w:p>
        </w:tc>
        <w:tc>
          <w:tcPr>
            <w:tcW w:w="1134" w:type="dxa"/>
            <w:vMerge w:val="restart"/>
            <w:tcBorders>
              <w:top w:val="single" w:sz="4" w:space="0" w:color="auto"/>
              <w:left w:val="nil"/>
              <w:right w:val="single" w:sz="4" w:space="0" w:color="auto"/>
            </w:tcBorders>
            <w:shd w:val="clear" w:color="auto" w:fill="auto"/>
            <w:vAlign w:val="center"/>
          </w:tcPr>
          <w:p w:rsidR="00FD3A2D" w:rsidRPr="00912AD2" w:rsidRDefault="00FD3A2D" w:rsidP="001161E3">
            <w:pPr>
              <w:spacing w:line="600" w:lineRule="exact"/>
              <w:jc w:val="center"/>
              <w:rPr>
                <w:rFonts w:ascii="仿宋_GB2312" w:eastAsia="仿宋_GB2312" w:hAnsi="华文仿宋" w:cs="宋体" w:hint="eastAsia"/>
                <w:b/>
                <w:bCs/>
                <w:color w:val="000000"/>
                <w:kern w:val="0"/>
                <w:sz w:val="22"/>
              </w:rPr>
            </w:pPr>
            <w:r w:rsidRPr="00912AD2">
              <w:rPr>
                <w:rFonts w:ascii="仿宋_GB2312" w:eastAsia="仿宋_GB2312" w:hAnsi="华文仿宋" w:cs="宋体" w:hint="eastAsia"/>
                <w:b/>
                <w:color w:val="000000"/>
                <w:kern w:val="0"/>
                <w:sz w:val="22"/>
              </w:rPr>
              <w:t>130</w:t>
            </w:r>
          </w:p>
        </w:tc>
      </w:tr>
      <w:tr w:rsidR="00FD3A2D" w:rsidRPr="00912AD2" w:rsidTr="00FD3A2D">
        <w:trPr>
          <w:trHeight w:val="540"/>
          <w:jc w:val="center"/>
        </w:trPr>
        <w:tc>
          <w:tcPr>
            <w:tcW w:w="1057" w:type="dxa"/>
            <w:tcBorders>
              <w:left w:val="single" w:sz="4" w:space="0" w:color="auto"/>
              <w:right w:val="single" w:sz="4" w:space="0" w:color="auto"/>
            </w:tcBorders>
          </w:tcPr>
          <w:p w:rsidR="00FD3A2D" w:rsidRPr="00912AD2" w:rsidRDefault="00FD3A2D" w:rsidP="001161E3">
            <w:pPr>
              <w:widowControl/>
              <w:spacing w:line="600" w:lineRule="exact"/>
              <w:jc w:val="center"/>
              <w:rPr>
                <w:rFonts w:ascii="仿宋_GB2312" w:eastAsia="仿宋_GB2312" w:hAnsi="华文仿宋" w:cs="宋体" w:hint="eastAsia"/>
                <w:color w:val="000000"/>
                <w:kern w:val="0"/>
                <w:sz w:val="22"/>
              </w:rPr>
            </w:pPr>
            <w:r w:rsidRPr="00912AD2">
              <w:rPr>
                <w:rFonts w:ascii="仿宋_GB2312" w:eastAsia="仿宋_GB2312" w:hAnsi="华文仿宋" w:cs="宋体" w:hint="eastAsia"/>
                <w:b/>
                <w:bCs/>
                <w:color w:val="000000"/>
                <w:kern w:val="0"/>
                <w:sz w:val="22"/>
              </w:rPr>
              <w:t>方案三</w:t>
            </w:r>
          </w:p>
        </w:tc>
        <w:tc>
          <w:tcPr>
            <w:tcW w:w="1432" w:type="dxa"/>
            <w:vMerge/>
            <w:tcBorders>
              <w:left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color w:val="000000"/>
                <w:kern w:val="0"/>
                <w:sz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color w:val="000000"/>
                <w:kern w:val="0"/>
                <w:sz w:val="22"/>
              </w:rPr>
            </w:pPr>
            <w:r w:rsidRPr="00912AD2">
              <w:rPr>
                <w:rFonts w:ascii="仿宋_GB2312" w:eastAsia="仿宋_GB2312" w:hAnsi="华文仿宋" w:cs="宋体" w:hint="eastAsia"/>
                <w:color w:val="000000"/>
                <w:kern w:val="0"/>
                <w:sz w:val="22"/>
              </w:rPr>
              <w:t>雇员工资</w:t>
            </w:r>
          </w:p>
        </w:tc>
        <w:tc>
          <w:tcPr>
            <w:tcW w:w="1474" w:type="dxa"/>
            <w:vMerge w:val="restart"/>
            <w:tcBorders>
              <w:top w:val="single" w:sz="4" w:space="0" w:color="auto"/>
              <w:left w:val="nil"/>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color w:val="000000"/>
                <w:kern w:val="0"/>
                <w:sz w:val="22"/>
              </w:rPr>
            </w:pPr>
            <w:r w:rsidRPr="00912AD2">
              <w:rPr>
                <w:rFonts w:ascii="仿宋_GB2312" w:eastAsia="仿宋_GB2312" w:hAnsi="华文仿宋" w:cs="宋体" w:hint="eastAsia"/>
                <w:b/>
                <w:color w:val="000000"/>
                <w:kern w:val="0"/>
                <w:sz w:val="22"/>
              </w:rPr>
              <w:t>120</w:t>
            </w:r>
          </w:p>
        </w:tc>
        <w:tc>
          <w:tcPr>
            <w:tcW w:w="1418" w:type="dxa"/>
            <w:vMerge/>
            <w:tcBorders>
              <w:left w:val="nil"/>
              <w:right w:val="single" w:sz="4" w:space="0" w:color="auto"/>
            </w:tcBorders>
            <w:shd w:val="clear" w:color="auto" w:fill="E2EFD9" w:themeFill="accent6" w:themeFillTint="33"/>
            <w:vAlign w:val="center"/>
          </w:tcPr>
          <w:p w:rsidR="00FD3A2D" w:rsidRPr="00912AD2" w:rsidRDefault="00FD3A2D" w:rsidP="001161E3">
            <w:pPr>
              <w:widowControl/>
              <w:spacing w:line="600" w:lineRule="exact"/>
              <w:jc w:val="center"/>
              <w:rPr>
                <w:rFonts w:ascii="仿宋_GB2312" w:eastAsia="仿宋_GB2312" w:hAnsi="华文仿宋" w:cs="宋体" w:hint="eastAsia"/>
                <w:b/>
                <w:color w:val="000000"/>
                <w:kern w:val="0"/>
                <w:sz w:val="22"/>
              </w:rPr>
            </w:pPr>
          </w:p>
        </w:tc>
        <w:tc>
          <w:tcPr>
            <w:tcW w:w="1134" w:type="dxa"/>
            <w:vMerge/>
            <w:tcBorders>
              <w:left w:val="nil"/>
              <w:right w:val="single" w:sz="4" w:space="0" w:color="auto"/>
            </w:tcBorders>
            <w:shd w:val="clear" w:color="auto" w:fill="auto"/>
            <w:vAlign w:val="center"/>
          </w:tcPr>
          <w:p w:rsidR="00FD3A2D" w:rsidRPr="00912AD2" w:rsidRDefault="00FD3A2D" w:rsidP="001161E3">
            <w:pPr>
              <w:widowControl/>
              <w:spacing w:line="600" w:lineRule="exact"/>
              <w:jc w:val="center"/>
              <w:rPr>
                <w:rFonts w:ascii="仿宋_GB2312" w:eastAsia="仿宋_GB2312" w:hAnsi="华文仿宋" w:cs="宋体" w:hint="eastAsia"/>
                <w:b/>
                <w:color w:val="000000"/>
                <w:kern w:val="0"/>
                <w:sz w:val="22"/>
              </w:rPr>
            </w:pPr>
          </w:p>
        </w:tc>
      </w:tr>
      <w:tr w:rsidR="00FD3A2D" w:rsidRPr="00912AD2" w:rsidTr="00FD3A2D">
        <w:trPr>
          <w:trHeight w:val="540"/>
          <w:jc w:val="center"/>
        </w:trPr>
        <w:tc>
          <w:tcPr>
            <w:tcW w:w="1057" w:type="dxa"/>
            <w:tcBorders>
              <w:left w:val="single" w:sz="4" w:space="0" w:color="auto"/>
              <w:bottom w:val="single" w:sz="4" w:space="0" w:color="auto"/>
              <w:right w:val="single" w:sz="4" w:space="0" w:color="auto"/>
            </w:tcBorders>
          </w:tcPr>
          <w:p w:rsidR="00FD3A2D" w:rsidRPr="00912AD2" w:rsidRDefault="00FD3A2D" w:rsidP="00AA6FB0">
            <w:pPr>
              <w:widowControl/>
              <w:spacing w:line="600" w:lineRule="exact"/>
              <w:jc w:val="center"/>
              <w:rPr>
                <w:rFonts w:ascii="仿宋_GB2312" w:eastAsia="仿宋_GB2312" w:hAnsi="华文仿宋" w:cs="宋体" w:hint="eastAsia"/>
                <w:color w:val="000000"/>
                <w:kern w:val="0"/>
                <w:sz w:val="22"/>
              </w:rPr>
            </w:pPr>
          </w:p>
        </w:tc>
        <w:tc>
          <w:tcPr>
            <w:tcW w:w="1432" w:type="dxa"/>
            <w:vMerge/>
            <w:tcBorders>
              <w:left w:val="single" w:sz="4" w:space="0" w:color="auto"/>
              <w:bottom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color w:val="000000"/>
                <w:kern w:val="0"/>
                <w:sz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color w:val="000000"/>
                <w:kern w:val="0"/>
                <w:sz w:val="22"/>
              </w:rPr>
            </w:pPr>
            <w:r w:rsidRPr="00912AD2">
              <w:rPr>
                <w:rFonts w:ascii="仿宋_GB2312" w:eastAsia="仿宋_GB2312" w:hAnsi="华文仿宋" w:cs="宋体" w:hint="eastAsia"/>
                <w:color w:val="000000"/>
                <w:kern w:val="0"/>
                <w:sz w:val="22"/>
              </w:rPr>
              <w:t>隔离费用</w:t>
            </w:r>
          </w:p>
        </w:tc>
        <w:tc>
          <w:tcPr>
            <w:tcW w:w="1474" w:type="dxa"/>
            <w:vMerge/>
            <w:tcBorders>
              <w:left w:val="nil"/>
              <w:bottom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b/>
                <w:bCs/>
                <w:color w:val="000000"/>
                <w:kern w:val="0"/>
                <w:sz w:val="22"/>
              </w:rPr>
            </w:pPr>
          </w:p>
        </w:tc>
        <w:tc>
          <w:tcPr>
            <w:tcW w:w="1418" w:type="dxa"/>
            <w:vMerge/>
            <w:tcBorders>
              <w:left w:val="nil"/>
              <w:bottom w:val="single" w:sz="4" w:space="0" w:color="auto"/>
              <w:right w:val="single" w:sz="4" w:space="0" w:color="auto"/>
            </w:tcBorders>
            <w:shd w:val="clear" w:color="auto" w:fill="E2EFD9" w:themeFill="accent6" w:themeFillTint="33"/>
            <w:vAlign w:val="center"/>
          </w:tcPr>
          <w:p w:rsidR="00FD3A2D" w:rsidRPr="00912AD2" w:rsidRDefault="00FD3A2D" w:rsidP="00AA6FB0">
            <w:pPr>
              <w:widowControl/>
              <w:spacing w:line="600" w:lineRule="exact"/>
              <w:jc w:val="center"/>
              <w:rPr>
                <w:rFonts w:ascii="仿宋_GB2312" w:eastAsia="仿宋_GB2312" w:hAnsi="华文仿宋" w:cs="宋体" w:hint="eastAsia"/>
                <w:b/>
                <w:color w:val="000000"/>
                <w:kern w:val="0"/>
                <w:sz w:val="22"/>
              </w:rPr>
            </w:pPr>
          </w:p>
        </w:tc>
        <w:tc>
          <w:tcPr>
            <w:tcW w:w="1134" w:type="dxa"/>
            <w:vMerge/>
            <w:tcBorders>
              <w:left w:val="nil"/>
              <w:bottom w:val="single" w:sz="4" w:space="0" w:color="auto"/>
              <w:right w:val="single" w:sz="4" w:space="0" w:color="auto"/>
            </w:tcBorders>
            <w:shd w:val="clear" w:color="auto" w:fill="auto"/>
            <w:vAlign w:val="center"/>
          </w:tcPr>
          <w:p w:rsidR="00FD3A2D" w:rsidRPr="00912AD2" w:rsidRDefault="00FD3A2D" w:rsidP="00AA6FB0">
            <w:pPr>
              <w:widowControl/>
              <w:spacing w:line="600" w:lineRule="exact"/>
              <w:jc w:val="center"/>
              <w:rPr>
                <w:rFonts w:ascii="仿宋_GB2312" w:eastAsia="仿宋_GB2312" w:hAnsi="华文仿宋" w:cs="宋体" w:hint="eastAsia"/>
                <w:b/>
                <w:color w:val="000000"/>
                <w:kern w:val="0"/>
                <w:sz w:val="22"/>
              </w:rPr>
            </w:pPr>
          </w:p>
        </w:tc>
      </w:tr>
    </w:tbl>
    <w:p w:rsidR="00AA6FB0" w:rsidRPr="00912AD2" w:rsidRDefault="0086579D" w:rsidP="0086579D">
      <w:pPr>
        <w:spacing w:line="600" w:lineRule="exact"/>
        <w:rPr>
          <w:rFonts w:ascii="仿宋_GB2312" w:eastAsia="仿宋_GB2312" w:hAnsi="华文仿宋" w:cs="宋体" w:hint="eastAsia"/>
          <w:b/>
          <w:bCs/>
          <w:sz w:val="32"/>
          <w:szCs w:val="32"/>
        </w:rPr>
      </w:pPr>
      <w:r w:rsidRPr="00912AD2">
        <w:rPr>
          <w:rFonts w:ascii="仿宋_GB2312" w:eastAsia="仿宋_GB2312" w:hAnsi="华文仿宋" w:cs="宋体" w:hint="eastAsia"/>
          <w:b/>
          <w:bCs/>
          <w:sz w:val="32"/>
          <w:szCs w:val="32"/>
        </w:rPr>
        <w:t>五</w:t>
      </w:r>
      <w:r w:rsidR="008D6C32" w:rsidRPr="00912AD2">
        <w:rPr>
          <w:rFonts w:ascii="仿宋_GB2312" w:eastAsia="仿宋_GB2312" w:hAnsi="华文仿宋" w:cs="宋体" w:hint="eastAsia"/>
          <w:b/>
          <w:bCs/>
          <w:sz w:val="32"/>
          <w:szCs w:val="32"/>
        </w:rPr>
        <w:t>、</w:t>
      </w:r>
      <w:r w:rsidR="00B51647" w:rsidRPr="00912AD2">
        <w:rPr>
          <w:rFonts w:ascii="仿宋_GB2312" w:eastAsia="仿宋_GB2312" w:hAnsi="华文仿宋" w:cs="宋体" w:hint="eastAsia"/>
          <w:b/>
          <w:bCs/>
          <w:sz w:val="32"/>
          <w:szCs w:val="32"/>
        </w:rPr>
        <w:t>赔偿限额：</w:t>
      </w:r>
    </w:p>
    <w:p w:rsidR="00B51647" w:rsidRPr="00912AD2" w:rsidRDefault="00AA6FB0" w:rsidP="00912AD2">
      <w:pPr>
        <w:spacing w:line="600" w:lineRule="exact"/>
        <w:ind w:firstLineChars="150" w:firstLine="482"/>
        <w:rPr>
          <w:rFonts w:ascii="仿宋_GB2312" w:eastAsia="仿宋_GB2312" w:hAnsi="华文仿宋" w:hint="eastAsia"/>
          <w:sz w:val="32"/>
          <w:szCs w:val="32"/>
        </w:rPr>
      </w:pPr>
      <w:r w:rsidRPr="00912AD2">
        <w:rPr>
          <w:rFonts w:ascii="仿宋_GB2312" w:eastAsia="仿宋_GB2312" w:hAnsi="华文仿宋" w:cs="宋体" w:hint="eastAsia"/>
          <w:b/>
          <w:bCs/>
          <w:sz w:val="32"/>
          <w:szCs w:val="32"/>
        </w:rPr>
        <w:t>（一）、</w:t>
      </w:r>
      <w:r w:rsidR="00B51647" w:rsidRPr="00912AD2">
        <w:rPr>
          <w:rFonts w:ascii="仿宋_GB2312" w:eastAsia="仿宋_GB2312" w:hAnsi="华文仿宋" w:hint="eastAsia"/>
          <w:sz w:val="32"/>
          <w:szCs w:val="32"/>
        </w:rPr>
        <w:t>雇员工资以其隔离当月工资作为基准核算， 每人每月最高赔偿限额RMB6,000元</w:t>
      </w:r>
      <w:r w:rsidR="008D6C32" w:rsidRPr="00912AD2">
        <w:rPr>
          <w:rFonts w:ascii="仿宋_GB2312" w:eastAsia="仿宋_GB2312" w:hAnsi="华文仿宋" w:hint="eastAsia"/>
          <w:sz w:val="32"/>
          <w:szCs w:val="32"/>
        </w:rPr>
        <w:t>。其中</w:t>
      </w:r>
      <w:r w:rsidR="00195D70" w:rsidRPr="00912AD2">
        <w:rPr>
          <w:rFonts w:ascii="仿宋_GB2312" w:eastAsia="仿宋_GB2312" w:hAnsi="华文仿宋" w:hint="eastAsia"/>
          <w:sz w:val="32"/>
          <w:szCs w:val="32"/>
        </w:rPr>
        <w:t>:</w:t>
      </w:r>
    </w:p>
    <w:p w:rsidR="007C5BFB" w:rsidRPr="00912AD2" w:rsidRDefault="007C5BFB"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1.</w:t>
      </w:r>
      <w:r w:rsidRPr="00912AD2">
        <w:rPr>
          <w:rFonts w:ascii="仿宋_GB2312" w:eastAsia="仿宋_GB2312" w:hAnsi="华文仿宋" w:hint="eastAsia"/>
          <w:b/>
          <w:sz w:val="32"/>
          <w:szCs w:val="32"/>
        </w:rPr>
        <w:t>疑似病例</w:t>
      </w:r>
      <w:r w:rsidRPr="00912AD2">
        <w:rPr>
          <w:rFonts w:ascii="仿宋_GB2312" w:eastAsia="仿宋_GB2312" w:hAnsi="华文仿宋" w:hint="eastAsia"/>
          <w:sz w:val="32"/>
          <w:szCs w:val="32"/>
        </w:rPr>
        <w:t>或一般被政府强制要求隔离的人员，最高赔偿期限 14天；</w:t>
      </w:r>
    </w:p>
    <w:p w:rsidR="007C5BFB" w:rsidRPr="00912AD2" w:rsidRDefault="007C5BFB"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2.</w:t>
      </w:r>
      <w:r w:rsidRPr="00912AD2">
        <w:rPr>
          <w:rFonts w:ascii="仿宋_GB2312" w:eastAsia="仿宋_GB2312" w:hAnsi="华文仿宋" w:hint="eastAsia"/>
          <w:b/>
          <w:sz w:val="32"/>
          <w:szCs w:val="32"/>
        </w:rPr>
        <w:t>确诊病例</w:t>
      </w:r>
      <w:r w:rsidRPr="00912AD2">
        <w:rPr>
          <w:rFonts w:ascii="仿宋_GB2312" w:eastAsia="仿宋_GB2312" w:hAnsi="华文仿宋" w:hint="eastAsia"/>
          <w:sz w:val="32"/>
          <w:szCs w:val="32"/>
        </w:rPr>
        <w:t>赔偿期限自隔离日起至医院确认治愈止，最高赔偿期限六个月。</w:t>
      </w:r>
    </w:p>
    <w:p w:rsidR="00832406" w:rsidRPr="00912AD2" w:rsidRDefault="00AA6FB0" w:rsidP="00912AD2">
      <w:pPr>
        <w:spacing w:line="600" w:lineRule="exact"/>
        <w:ind w:firstLineChars="150" w:firstLine="482"/>
        <w:rPr>
          <w:rFonts w:ascii="仿宋_GB2312" w:eastAsia="仿宋_GB2312" w:hAnsi="华文仿宋" w:cs="宋体" w:hint="eastAsia"/>
          <w:b/>
          <w:bCs/>
          <w:sz w:val="32"/>
          <w:szCs w:val="32"/>
        </w:rPr>
      </w:pPr>
      <w:r w:rsidRPr="00912AD2">
        <w:rPr>
          <w:rFonts w:ascii="仿宋_GB2312" w:eastAsia="仿宋_GB2312" w:hAnsi="华文仿宋" w:cs="宋体" w:hint="eastAsia"/>
          <w:b/>
          <w:bCs/>
          <w:sz w:val="32"/>
          <w:szCs w:val="32"/>
        </w:rPr>
        <w:t>（二）、</w:t>
      </w:r>
      <w:r w:rsidR="00832406" w:rsidRPr="00912AD2">
        <w:rPr>
          <w:rFonts w:ascii="仿宋_GB2312" w:eastAsia="仿宋_GB2312" w:hAnsi="华文仿宋" w:hint="eastAsia"/>
          <w:sz w:val="32"/>
          <w:szCs w:val="32"/>
        </w:rPr>
        <w:t>隔离费用：政府主管部门要求隔离的雇员每人每次事故赔偿 RMB1,000 元。</w:t>
      </w:r>
    </w:p>
    <w:p w:rsidR="00AA6FB0" w:rsidRPr="00912AD2" w:rsidRDefault="00832406" w:rsidP="00912AD2">
      <w:pPr>
        <w:spacing w:line="600" w:lineRule="exact"/>
        <w:ind w:firstLineChars="150" w:firstLine="482"/>
        <w:rPr>
          <w:rFonts w:ascii="仿宋_GB2312" w:eastAsia="仿宋_GB2312" w:hAnsi="华文仿宋" w:hint="eastAsia"/>
          <w:sz w:val="32"/>
          <w:szCs w:val="32"/>
        </w:rPr>
      </w:pPr>
      <w:r w:rsidRPr="00912AD2">
        <w:rPr>
          <w:rFonts w:ascii="仿宋_GB2312" w:eastAsia="仿宋_GB2312" w:hAnsi="华文仿宋" w:cs="宋体" w:hint="eastAsia"/>
          <w:b/>
          <w:bCs/>
          <w:sz w:val="32"/>
          <w:szCs w:val="32"/>
        </w:rPr>
        <w:t>（三）、</w:t>
      </w:r>
      <w:r w:rsidR="00AA6FB0" w:rsidRPr="00912AD2">
        <w:rPr>
          <w:rFonts w:ascii="仿宋_GB2312" w:eastAsia="仿宋_GB2312" w:hAnsi="华文仿宋" w:hint="eastAsia"/>
          <w:sz w:val="32"/>
          <w:szCs w:val="32"/>
        </w:rPr>
        <w:t>根据企业选择的对应方案，每家企业保险金额/赔偿限额分别为：</w:t>
      </w:r>
      <w:r w:rsidR="00A55649" w:rsidRPr="00912AD2">
        <w:rPr>
          <w:rFonts w:ascii="仿宋_GB2312" w:eastAsia="仿宋_GB2312" w:hAnsi="华文仿宋" w:hint="eastAsia"/>
          <w:sz w:val="32"/>
          <w:szCs w:val="32"/>
        </w:rPr>
        <w:t xml:space="preserve"> </w:t>
      </w:r>
      <w:r w:rsidR="00AA6FB0" w:rsidRPr="00912AD2">
        <w:rPr>
          <w:rFonts w:ascii="仿宋_GB2312" w:eastAsia="仿宋_GB2312" w:hAnsi="华文仿宋" w:hint="eastAsia"/>
          <w:sz w:val="32"/>
          <w:szCs w:val="32"/>
        </w:rPr>
        <w:t>1</w:t>
      </w:r>
      <w:r w:rsidR="00A55649" w:rsidRPr="00912AD2">
        <w:rPr>
          <w:rFonts w:ascii="仿宋_GB2312" w:eastAsia="仿宋_GB2312" w:hAnsi="华文仿宋" w:hint="eastAsia"/>
          <w:sz w:val="32"/>
          <w:szCs w:val="32"/>
        </w:rPr>
        <w:t>3</w:t>
      </w:r>
      <w:r w:rsidR="00AA6FB0" w:rsidRPr="00912AD2">
        <w:rPr>
          <w:rFonts w:ascii="仿宋_GB2312" w:eastAsia="仿宋_GB2312" w:hAnsi="华文仿宋" w:hint="eastAsia"/>
          <w:sz w:val="32"/>
          <w:szCs w:val="32"/>
        </w:rPr>
        <w:t>0万元、</w:t>
      </w:r>
      <w:r w:rsidR="00A55649" w:rsidRPr="00912AD2">
        <w:rPr>
          <w:rFonts w:ascii="仿宋_GB2312" w:eastAsia="仿宋_GB2312" w:hAnsi="华文仿宋" w:hint="eastAsia"/>
          <w:sz w:val="32"/>
          <w:szCs w:val="32"/>
        </w:rPr>
        <w:t>16</w:t>
      </w:r>
      <w:r w:rsidR="00AA6FB0" w:rsidRPr="00912AD2">
        <w:rPr>
          <w:rFonts w:ascii="仿宋_GB2312" w:eastAsia="仿宋_GB2312" w:hAnsi="华文仿宋" w:hint="eastAsia"/>
          <w:sz w:val="32"/>
          <w:szCs w:val="32"/>
        </w:rPr>
        <w:t>0万元、</w:t>
      </w:r>
      <w:r w:rsidR="00A55649" w:rsidRPr="00912AD2">
        <w:rPr>
          <w:rFonts w:ascii="仿宋_GB2312" w:eastAsia="仿宋_GB2312" w:hAnsi="华文仿宋" w:hint="eastAsia"/>
          <w:sz w:val="32"/>
          <w:szCs w:val="32"/>
        </w:rPr>
        <w:t>2</w:t>
      </w:r>
      <w:r w:rsidR="00AA6FB0" w:rsidRPr="00912AD2">
        <w:rPr>
          <w:rFonts w:ascii="仿宋_GB2312" w:eastAsia="仿宋_GB2312" w:hAnsi="华文仿宋" w:hint="eastAsia"/>
          <w:sz w:val="32"/>
          <w:szCs w:val="32"/>
        </w:rPr>
        <w:t>00万元。</w:t>
      </w:r>
    </w:p>
    <w:p w:rsidR="004F5EF1" w:rsidRPr="00912AD2" w:rsidRDefault="0086579D" w:rsidP="0086579D">
      <w:pPr>
        <w:spacing w:line="600" w:lineRule="exact"/>
        <w:rPr>
          <w:rFonts w:ascii="仿宋_GB2312" w:eastAsia="仿宋_GB2312" w:hAnsi="华文仿宋" w:cs="宋体" w:hint="eastAsia"/>
          <w:bCs/>
          <w:sz w:val="32"/>
          <w:szCs w:val="32"/>
        </w:rPr>
      </w:pPr>
      <w:r w:rsidRPr="00912AD2">
        <w:rPr>
          <w:rFonts w:ascii="仿宋_GB2312" w:eastAsia="仿宋_GB2312" w:hAnsi="华文仿宋" w:cs="宋体" w:hint="eastAsia"/>
          <w:b/>
          <w:bCs/>
          <w:sz w:val="32"/>
          <w:szCs w:val="32"/>
        </w:rPr>
        <w:t>六、</w:t>
      </w:r>
      <w:r w:rsidR="004F5EF1" w:rsidRPr="00912AD2">
        <w:rPr>
          <w:rFonts w:ascii="仿宋_GB2312" w:eastAsia="仿宋_GB2312" w:hAnsi="华文仿宋" w:cs="宋体" w:hint="eastAsia"/>
          <w:b/>
          <w:bCs/>
          <w:sz w:val="32"/>
          <w:szCs w:val="32"/>
        </w:rPr>
        <w:t>免赔额：</w:t>
      </w:r>
      <w:r w:rsidR="00076454" w:rsidRPr="00912AD2">
        <w:rPr>
          <w:rFonts w:ascii="仿宋_GB2312" w:eastAsia="仿宋_GB2312" w:hAnsi="华文仿宋" w:cs="宋体" w:hint="eastAsia"/>
          <w:bCs/>
          <w:sz w:val="32"/>
          <w:szCs w:val="32"/>
        </w:rPr>
        <w:t>无</w:t>
      </w:r>
    </w:p>
    <w:p w:rsidR="00646B9F" w:rsidRPr="00912AD2" w:rsidRDefault="0086579D" w:rsidP="0086579D">
      <w:pPr>
        <w:spacing w:line="600" w:lineRule="exact"/>
        <w:rPr>
          <w:rFonts w:ascii="仿宋_GB2312" w:eastAsia="仿宋_GB2312" w:hAnsi="华文仿宋" w:hint="eastAsia"/>
          <w:b/>
          <w:sz w:val="32"/>
          <w:szCs w:val="32"/>
        </w:rPr>
      </w:pPr>
      <w:r w:rsidRPr="00912AD2">
        <w:rPr>
          <w:rFonts w:ascii="仿宋_GB2312" w:eastAsia="仿宋_GB2312" w:hAnsi="华文仿宋" w:hint="eastAsia"/>
          <w:b/>
          <w:sz w:val="32"/>
          <w:szCs w:val="32"/>
        </w:rPr>
        <w:t>七</w:t>
      </w:r>
      <w:r w:rsidR="00B0550B" w:rsidRPr="00912AD2">
        <w:rPr>
          <w:rFonts w:ascii="仿宋_GB2312" w:eastAsia="仿宋_GB2312" w:hAnsi="华文仿宋" w:hint="eastAsia"/>
          <w:b/>
          <w:sz w:val="32"/>
          <w:szCs w:val="32"/>
        </w:rPr>
        <w:t>、</w:t>
      </w:r>
      <w:r w:rsidR="00646B9F" w:rsidRPr="00912AD2">
        <w:rPr>
          <w:rFonts w:ascii="仿宋_GB2312" w:eastAsia="仿宋_GB2312" w:hAnsi="华文仿宋" w:hint="eastAsia"/>
          <w:b/>
          <w:sz w:val="32"/>
          <w:szCs w:val="32"/>
        </w:rPr>
        <w:t xml:space="preserve">特别约定： </w:t>
      </w:r>
    </w:p>
    <w:p w:rsidR="00B82CBF" w:rsidRPr="00912AD2" w:rsidRDefault="00832406"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1.</w:t>
      </w:r>
      <w:r w:rsidR="00646B9F" w:rsidRPr="00912AD2">
        <w:rPr>
          <w:rFonts w:ascii="仿宋_GB2312" w:eastAsia="仿宋_GB2312" w:hAnsi="华文仿宋" w:hint="eastAsia"/>
          <w:sz w:val="32"/>
          <w:szCs w:val="32"/>
        </w:rPr>
        <w:t>经双方同意，本保单仅承保</w:t>
      </w:r>
      <w:r w:rsidR="00B82CBF" w:rsidRPr="00912AD2">
        <w:rPr>
          <w:rFonts w:ascii="仿宋_GB2312" w:eastAsia="仿宋_GB2312" w:hAnsi="华文仿宋" w:hint="eastAsia"/>
          <w:sz w:val="32"/>
          <w:szCs w:val="32"/>
        </w:rPr>
        <w:t>由于在保险合同载明的营业处所内被确诊有任何人患法定传染病（包括新型冠状病毒肺炎），政府主管部门要求该营业处所进行封闭或隔离，导致</w:t>
      </w:r>
      <w:r w:rsidR="00646B9F" w:rsidRPr="00912AD2">
        <w:rPr>
          <w:rFonts w:ascii="仿宋_GB2312" w:eastAsia="仿宋_GB2312" w:hAnsi="华文仿宋" w:hint="eastAsia"/>
          <w:sz w:val="32"/>
          <w:szCs w:val="32"/>
        </w:rPr>
        <w:t>被保险人营业中断</w:t>
      </w:r>
      <w:r w:rsidR="00B82CBF" w:rsidRPr="00912AD2">
        <w:rPr>
          <w:rFonts w:ascii="仿宋_GB2312" w:eastAsia="仿宋_GB2312" w:hAnsi="华文仿宋" w:hint="eastAsia"/>
          <w:sz w:val="32"/>
          <w:szCs w:val="32"/>
        </w:rPr>
        <w:t>，造成的被保险人</w:t>
      </w:r>
      <w:r w:rsidR="00195D70" w:rsidRPr="00912AD2">
        <w:rPr>
          <w:rFonts w:ascii="仿宋_GB2312" w:eastAsia="仿宋_GB2312" w:hAnsi="华文仿宋" w:hint="eastAsia"/>
          <w:sz w:val="32"/>
          <w:szCs w:val="32"/>
        </w:rPr>
        <w:t>需要继续支出的</w:t>
      </w:r>
      <w:r w:rsidR="004870BD" w:rsidRPr="00912AD2">
        <w:rPr>
          <w:rFonts w:ascii="仿宋_GB2312" w:eastAsia="仿宋_GB2312" w:hAnsi="华文仿宋" w:hint="eastAsia"/>
          <w:b/>
          <w:sz w:val="32"/>
          <w:szCs w:val="32"/>
        </w:rPr>
        <w:t>被隔离</w:t>
      </w:r>
      <w:r w:rsidR="00195D70" w:rsidRPr="00912AD2">
        <w:rPr>
          <w:rFonts w:ascii="仿宋_GB2312" w:eastAsia="仿宋_GB2312" w:hAnsi="华文仿宋" w:hint="eastAsia"/>
          <w:b/>
          <w:sz w:val="32"/>
          <w:szCs w:val="32"/>
        </w:rPr>
        <w:t>雇员</w:t>
      </w:r>
      <w:r w:rsidR="000A66EC" w:rsidRPr="00912AD2">
        <w:rPr>
          <w:rFonts w:ascii="仿宋_GB2312" w:eastAsia="仿宋_GB2312" w:hAnsi="华文仿宋" w:hint="eastAsia"/>
          <w:b/>
          <w:sz w:val="32"/>
          <w:szCs w:val="32"/>
        </w:rPr>
        <w:t>的</w:t>
      </w:r>
      <w:r w:rsidR="00195D70" w:rsidRPr="00912AD2">
        <w:rPr>
          <w:rFonts w:ascii="仿宋_GB2312" w:eastAsia="仿宋_GB2312" w:hAnsi="华文仿宋" w:hint="eastAsia"/>
          <w:b/>
          <w:sz w:val="32"/>
          <w:szCs w:val="32"/>
        </w:rPr>
        <w:t>工资</w:t>
      </w:r>
      <w:r w:rsidRPr="00912AD2">
        <w:rPr>
          <w:rFonts w:ascii="仿宋_GB2312" w:eastAsia="仿宋_GB2312" w:hAnsi="华文仿宋" w:hint="eastAsia"/>
          <w:b/>
          <w:sz w:val="32"/>
          <w:szCs w:val="32"/>
        </w:rPr>
        <w:t>及隔离费用支出</w:t>
      </w:r>
      <w:r w:rsidRPr="00912AD2">
        <w:rPr>
          <w:rFonts w:ascii="仿宋_GB2312" w:eastAsia="仿宋_GB2312" w:hAnsi="华文仿宋" w:hint="eastAsia"/>
          <w:sz w:val="32"/>
          <w:szCs w:val="32"/>
        </w:rPr>
        <w:t>， 保险人按照保险合同</w:t>
      </w:r>
      <w:r w:rsidR="00B82CBF" w:rsidRPr="00912AD2">
        <w:rPr>
          <w:rFonts w:ascii="仿宋_GB2312" w:eastAsia="仿宋_GB2312" w:hAnsi="华文仿宋" w:hint="eastAsia"/>
          <w:sz w:val="32"/>
          <w:szCs w:val="32"/>
        </w:rPr>
        <w:t>约定赔偿被保险人的损失。</w:t>
      </w:r>
    </w:p>
    <w:p w:rsidR="00195D70" w:rsidRPr="00912AD2" w:rsidRDefault="00832406"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2.</w:t>
      </w:r>
      <w:r w:rsidR="00646B9F" w:rsidRPr="00912AD2">
        <w:rPr>
          <w:rFonts w:ascii="仿宋_GB2312" w:eastAsia="仿宋_GB2312" w:hAnsi="华文仿宋" w:hint="eastAsia"/>
          <w:sz w:val="32"/>
          <w:szCs w:val="32"/>
        </w:rPr>
        <w:t>被保险人必须严格遵守国家有关安全和卫生的法律法规规定，恪尽职责以使营业处所避免发生保险事故，是保险</w:t>
      </w:r>
      <w:r w:rsidR="00B82CBF" w:rsidRPr="00912AD2">
        <w:rPr>
          <w:rFonts w:ascii="仿宋_GB2312" w:eastAsia="仿宋_GB2312" w:hAnsi="华文仿宋" w:hint="eastAsia"/>
          <w:sz w:val="32"/>
          <w:szCs w:val="32"/>
        </w:rPr>
        <w:t>人承担</w:t>
      </w:r>
      <w:r w:rsidR="00B82CBF" w:rsidRPr="00912AD2">
        <w:rPr>
          <w:rFonts w:ascii="仿宋_GB2312" w:eastAsia="仿宋_GB2312" w:hAnsi="华文仿宋" w:hint="eastAsia"/>
          <w:sz w:val="32"/>
          <w:szCs w:val="32"/>
        </w:rPr>
        <w:lastRenderedPageBreak/>
        <w:t>本赔偿责任的前提条件；</w:t>
      </w:r>
    </w:p>
    <w:p w:rsidR="00646B9F" w:rsidRPr="00912AD2" w:rsidRDefault="00A336EF"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3</w:t>
      </w:r>
      <w:r w:rsidR="00832406" w:rsidRPr="00912AD2">
        <w:rPr>
          <w:rFonts w:ascii="仿宋_GB2312" w:eastAsia="仿宋_GB2312" w:hAnsi="华文仿宋" w:hint="eastAsia"/>
          <w:sz w:val="32"/>
          <w:szCs w:val="32"/>
        </w:rPr>
        <w:t>.</w:t>
      </w:r>
      <w:r w:rsidR="00646B9F" w:rsidRPr="00912AD2">
        <w:rPr>
          <w:rFonts w:ascii="仿宋_GB2312" w:eastAsia="仿宋_GB2312" w:hAnsi="华文仿宋" w:hint="eastAsia"/>
          <w:sz w:val="32"/>
          <w:szCs w:val="32"/>
        </w:rPr>
        <w:t>被保险人应在完全满足当地政府要求复工的条件后进行复工，本保险不承担被保险人因未满足复工条件而擅自复工</w:t>
      </w:r>
      <w:r w:rsidR="00195D70" w:rsidRPr="00912AD2">
        <w:rPr>
          <w:rFonts w:ascii="仿宋_GB2312" w:eastAsia="仿宋_GB2312" w:hAnsi="华文仿宋" w:hint="eastAsia"/>
          <w:sz w:val="32"/>
          <w:szCs w:val="32"/>
        </w:rPr>
        <w:t>,</w:t>
      </w:r>
      <w:r w:rsidR="00646B9F" w:rsidRPr="00912AD2">
        <w:rPr>
          <w:rFonts w:ascii="仿宋_GB2312" w:eastAsia="仿宋_GB2312" w:hAnsi="华文仿宋" w:hint="eastAsia"/>
          <w:sz w:val="32"/>
          <w:szCs w:val="32"/>
        </w:rPr>
        <w:t xml:space="preserve">或者复工后因违反政府关于疫情防控的相关规定和指令而导致的损失和费用，也不承担被保险人在未复工前所发生的任何损失和费用。 </w:t>
      </w:r>
    </w:p>
    <w:p w:rsidR="00832406" w:rsidRPr="00912AD2" w:rsidRDefault="00832406" w:rsidP="00832406">
      <w:pPr>
        <w:spacing w:line="600" w:lineRule="exact"/>
        <w:ind w:firstLineChars="150" w:firstLine="480"/>
        <w:rPr>
          <w:rFonts w:ascii="仿宋_GB2312" w:eastAsia="仿宋_GB2312" w:hAnsi="华文仿宋" w:hint="eastAsia"/>
          <w:sz w:val="32"/>
          <w:szCs w:val="32"/>
        </w:rPr>
      </w:pPr>
      <w:r w:rsidRPr="00912AD2">
        <w:rPr>
          <w:rFonts w:ascii="仿宋_GB2312" w:eastAsia="仿宋_GB2312" w:hAnsi="华文仿宋" w:hint="eastAsia"/>
          <w:sz w:val="32"/>
          <w:szCs w:val="32"/>
        </w:rPr>
        <w:t>4.隔离雇员工资：以其隔离当月工资作为基准核算，每人每月最高赔偿限额RMB6,000 元，其中:</w:t>
      </w:r>
      <w:r w:rsidRPr="00912AD2">
        <w:rPr>
          <w:rFonts w:ascii="仿宋_GB2312" w:eastAsia="仿宋_GB2312" w:hAnsi="华文仿宋" w:hint="eastAsia"/>
          <w:b/>
          <w:sz w:val="32"/>
          <w:szCs w:val="32"/>
        </w:rPr>
        <w:t>疑似病例</w:t>
      </w:r>
      <w:r w:rsidRPr="00912AD2">
        <w:rPr>
          <w:rFonts w:ascii="仿宋_GB2312" w:eastAsia="仿宋_GB2312" w:hAnsi="华文仿宋" w:hint="eastAsia"/>
          <w:sz w:val="32"/>
          <w:szCs w:val="32"/>
        </w:rPr>
        <w:t>或一般被政府强制要求隔离的人员，最高赔偿期限 14天；</w:t>
      </w:r>
      <w:r w:rsidRPr="00912AD2">
        <w:rPr>
          <w:rFonts w:ascii="仿宋_GB2312" w:eastAsia="仿宋_GB2312" w:hAnsi="华文仿宋" w:hint="eastAsia"/>
          <w:b/>
          <w:sz w:val="32"/>
          <w:szCs w:val="32"/>
        </w:rPr>
        <w:t>确诊病例</w:t>
      </w:r>
      <w:r w:rsidRPr="00912AD2">
        <w:rPr>
          <w:rFonts w:ascii="仿宋_GB2312" w:eastAsia="仿宋_GB2312" w:hAnsi="华文仿宋" w:hint="eastAsia"/>
          <w:sz w:val="32"/>
          <w:szCs w:val="32"/>
        </w:rPr>
        <w:t>赔偿期限自隔离日起至医院确认治愈止，最高赔偿期限六个月。</w:t>
      </w:r>
    </w:p>
    <w:p w:rsidR="00832406" w:rsidRPr="00912AD2" w:rsidRDefault="00832406" w:rsidP="00832406">
      <w:pPr>
        <w:spacing w:line="600" w:lineRule="exact"/>
        <w:ind w:firstLineChars="150" w:firstLine="480"/>
        <w:rPr>
          <w:rFonts w:ascii="仿宋_GB2312" w:eastAsia="仿宋_GB2312" w:hAnsi="华文仿宋" w:hint="eastAsia"/>
          <w:sz w:val="32"/>
          <w:szCs w:val="32"/>
        </w:rPr>
      </w:pPr>
      <w:r w:rsidRPr="00912AD2">
        <w:rPr>
          <w:rFonts w:ascii="仿宋_GB2312" w:eastAsia="仿宋_GB2312" w:hAnsi="华文仿宋" w:hint="eastAsia"/>
          <w:sz w:val="32"/>
          <w:szCs w:val="32"/>
        </w:rPr>
        <w:t>5.隔离费用：政府主管部门要求隔离的雇员每人每次事故赔偿 RMB1,000 元。</w:t>
      </w:r>
    </w:p>
    <w:p w:rsidR="00A336EF" w:rsidRPr="00912AD2" w:rsidRDefault="00832406"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6</w:t>
      </w:r>
      <w:r w:rsidR="00A336EF" w:rsidRPr="00912AD2">
        <w:rPr>
          <w:rFonts w:ascii="仿宋_GB2312" w:eastAsia="仿宋_GB2312" w:hAnsi="华文仿宋" w:hint="eastAsia"/>
          <w:sz w:val="32"/>
          <w:szCs w:val="32"/>
        </w:rPr>
        <w:t>.释义：</w:t>
      </w:r>
    </w:p>
    <w:p w:rsidR="00646B9F" w:rsidRPr="00912AD2" w:rsidRDefault="00A336EF"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（1）</w:t>
      </w:r>
      <w:r w:rsidR="00646B9F" w:rsidRPr="00912AD2">
        <w:rPr>
          <w:rFonts w:ascii="仿宋_GB2312" w:eastAsia="仿宋_GB2312" w:hAnsi="华文仿宋" w:hint="eastAsia"/>
          <w:b/>
          <w:sz w:val="32"/>
          <w:szCs w:val="32"/>
        </w:rPr>
        <w:t>雇员</w:t>
      </w:r>
      <w:r w:rsidR="00646B9F" w:rsidRPr="00912AD2">
        <w:rPr>
          <w:rFonts w:ascii="仿宋_GB2312" w:eastAsia="仿宋_GB2312" w:hAnsi="华文仿宋" w:hint="eastAsia"/>
          <w:sz w:val="32"/>
          <w:szCs w:val="32"/>
        </w:rPr>
        <w:t xml:space="preserve">是指与被保险人签订有劳动合同或存在事实劳动合同关系， 接受被保险人给付薪金、工资，年满十六周岁且不超过 65 周岁的人员及其他按国家规定审批的未满十六周岁的特殊人员, 包括正式在册职工、短期工、临时工、季节工和徒工等。 但因委托代理、行纪、居间等其他合同为被保险人提供服务或工作的人员不属于本保险合同所称雇员。 </w:t>
      </w:r>
    </w:p>
    <w:p w:rsidR="009A22E9" w:rsidRPr="00912AD2" w:rsidRDefault="009A22E9"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（2）</w:t>
      </w:r>
      <w:r w:rsidRPr="00912AD2">
        <w:rPr>
          <w:rFonts w:ascii="仿宋_GB2312" w:eastAsia="仿宋_GB2312" w:hAnsi="华文仿宋" w:hint="eastAsia"/>
          <w:b/>
          <w:sz w:val="32"/>
          <w:szCs w:val="32"/>
        </w:rPr>
        <w:t>法定传染病</w:t>
      </w:r>
      <w:r w:rsidRPr="00912AD2">
        <w:rPr>
          <w:rFonts w:ascii="仿宋_GB2312" w:eastAsia="仿宋_GB2312" w:hAnsi="华文仿宋" w:hint="eastAsia"/>
          <w:sz w:val="32"/>
          <w:szCs w:val="32"/>
        </w:rPr>
        <w:t>是指根据《中华人民共和国传染病防治法》列入甲、乙类传染病的病种，按照政府相关部门要求必须向政府相关部门报告的任何人类（接触性）传染病（不包括获得性免疫缺陷综合症，即艾滋病）。</w:t>
      </w:r>
    </w:p>
    <w:p w:rsidR="0086579D" w:rsidRPr="00912AD2" w:rsidRDefault="0086579D" w:rsidP="004634D7">
      <w:pPr>
        <w:spacing w:line="600" w:lineRule="exact"/>
        <w:rPr>
          <w:rFonts w:ascii="仿宋_GB2312" w:eastAsia="仿宋_GB2312" w:hAnsi="华文仿宋" w:hint="eastAsia"/>
          <w:b/>
          <w:sz w:val="32"/>
          <w:szCs w:val="32"/>
        </w:rPr>
      </w:pPr>
      <w:r w:rsidRPr="00912AD2">
        <w:rPr>
          <w:rFonts w:ascii="仿宋_GB2312" w:eastAsia="仿宋_GB2312" w:hAnsi="华文仿宋" w:hint="eastAsia"/>
          <w:b/>
          <w:sz w:val="32"/>
          <w:szCs w:val="32"/>
        </w:rPr>
        <w:lastRenderedPageBreak/>
        <w:t>八</w:t>
      </w:r>
      <w:r w:rsidR="007C5BFB" w:rsidRPr="00912AD2">
        <w:rPr>
          <w:rFonts w:ascii="仿宋_GB2312" w:eastAsia="仿宋_GB2312" w:hAnsi="华文仿宋" w:hint="eastAsia"/>
          <w:b/>
          <w:sz w:val="32"/>
          <w:szCs w:val="32"/>
        </w:rPr>
        <w:t>、适用条款：</w:t>
      </w:r>
    </w:p>
    <w:p w:rsidR="0086579D" w:rsidRPr="00912AD2" w:rsidRDefault="007C5BFB" w:rsidP="0086579D">
      <w:pPr>
        <w:spacing w:line="600" w:lineRule="exact"/>
        <w:rPr>
          <w:rFonts w:ascii="仿宋_GB2312" w:eastAsia="仿宋_GB2312" w:hAnsi="华文仿宋" w:hint="eastAsia"/>
          <w:sz w:val="32"/>
          <w:szCs w:val="32"/>
        </w:rPr>
      </w:pPr>
      <w:r w:rsidRPr="00912AD2">
        <w:rPr>
          <w:rFonts w:ascii="仿宋_GB2312" w:eastAsia="仿宋_GB2312" w:hAnsi="华文仿宋" w:hint="eastAsia"/>
          <w:sz w:val="32"/>
          <w:szCs w:val="32"/>
        </w:rPr>
        <w:t>1. 中国人民财产保险股份有限公司财产综合险条款（2009 版）</w:t>
      </w:r>
    </w:p>
    <w:p w:rsidR="0086579D" w:rsidRPr="00912AD2" w:rsidRDefault="007C5BFB" w:rsidP="0086579D">
      <w:pPr>
        <w:spacing w:line="600" w:lineRule="exact"/>
        <w:rPr>
          <w:rFonts w:ascii="仿宋_GB2312" w:eastAsia="仿宋_GB2312" w:hAnsi="华文仿宋" w:hint="eastAsia"/>
          <w:sz w:val="32"/>
          <w:szCs w:val="32"/>
        </w:rPr>
      </w:pPr>
      <w:r w:rsidRPr="00912AD2">
        <w:rPr>
          <w:rFonts w:ascii="仿宋_GB2312" w:eastAsia="仿宋_GB2312" w:hAnsi="华文仿宋" w:hint="eastAsia"/>
          <w:sz w:val="32"/>
          <w:szCs w:val="32"/>
        </w:rPr>
        <w:t>2. 中国人民财产保险股份有限公司营业中断险条款（2009 版）</w:t>
      </w:r>
    </w:p>
    <w:p w:rsidR="0086579D" w:rsidRPr="00912AD2" w:rsidRDefault="007C5BFB" w:rsidP="0086579D">
      <w:pPr>
        <w:spacing w:line="600" w:lineRule="exact"/>
        <w:rPr>
          <w:rFonts w:ascii="仿宋_GB2312" w:eastAsia="仿宋_GB2312" w:hAnsi="华文仿宋" w:hint="eastAsia"/>
          <w:sz w:val="32"/>
          <w:szCs w:val="32"/>
        </w:rPr>
      </w:pPr>
      <w:r w:rsidRPr="00912AD2">
        <w:rPr>
          <w:rFonts w:ascii="仿宋_GB2312" w:eastAsia="仿宋_GB2312" w:hAnsi="华文仿宋" w:hint="eastAsia"/>
          <w:sz w:val="32"/>
          <w:szCs w:val="32"/>
        </w:rPr>
        <w:t xml:space="preserve">3. </w:t>
      </w:r>
      <w:r w:rsidR="00640F33" w:rsidRPr="00912AD2">
        <w:rPr>
          <w:rFonts w:ascii="仿宋_GB2312" w:eastAsia="仿宋_GB2312" w:hAnsi="华文仿宋" w:hint="eastAsia"/>
          <w:sz w:val="32"/>
          <w:szCs w:val="32"/>
        </w:rPr>
        <w:t>财产综合险</w:t>
      </w:r>
      <w:r w:rsidRPr="00912AD2">
        <w:rPr>
          <w:rFonts w:ascii="仿宋_GB2312" w:eastAsia="仿宋_GB2312" w:hAnsi="华文仿宋" w:hint="eastAsia"/>
          <w:sz w:val="32"/>
          <w:szCs w:val="32"/>
        </w:rPr>
        <w:t>附加放弃比例分摊条款</w:t>
      </w:r>
    </w:p>
    <w:p w:rsidR="007C5BFB" w:rsidRPr="00912AD2" w:rsidRDefault="007C5BFB" w:rsidP="0086579D">
      <w:pPr>
        <w:spacing w:line="600" w:lineRule="exact"/>
        <w:rPr>
          <w:rFonts w:ascii="仿宋_GB2312" w:eastAsia="仿宋_GB2312" w:hAnsi="华文仿宋" w:hint="eastAsia"/>
          <w:sz w:val="32"/>
          <w:szCs w:val="32"/>
        </w:rPr>
      </w:pPr>
      <w:r w:rsidRPr="00912AD2">
        <w:rPr>
          <w:rFonts w:ascii="仿宋_GB2312" w:eastAsia="仿宋_GB2312" w:hAnsi="华文仿宋" w:hint="eastAsia"/>
          <w:sz w:val="32"/>
          <w:szCs w:val="32"/>
        </w:rPr>
        <w:t xml:space="preserve">4. </w:t>
      </w:r>
      <w:r w:rsidR="00640F33" w:rsidRPr="00912AD2">
        <w:rPr>
          <w:rFonts w:ascii="仿宋_GB2312" w:eastAsia="仿宋_GB2312" w:hAnsi="华文仿宋" w:hint="eastAsia"/>
          <w:sz w:val="32"/>
          <w:szCs w:val="32"/>
        </w:rPr>
        <w:t>营业中断险</w:t>
      </w:r>
      <w:r w:rsidRPr="00912AD2">
        <w:rPr>
          <w:rFonts w:ascii="仿宋_GB2312" w:eastAsia="仿宋_GB2312" w:hAnsi="华文仿宋" w:hint="eastAsia"/>
          <w:sz w:val="32"/>
          <w:szCs w:val="32"/>
        </w:rPr>
        <w:t>附加传染病条款</w:t>
      </w:r>
    </w:p>
    <w:p w:rsidR="0086579D" w:rsidRPr="00912AD2" w:rsidRDefault="0086579D" w:rsidP="0086579D">
      <w:pPr>
        <w:spacing w:line="600" w:lineRule="exact"/>
        <w:rPr>
          <w:rFonts w:ascii="仿宋_GB2312" w:eastAsia="仿宋_GB2312" w:hAnsi="华文仿宋" w:hint="eastAsia"/>
          <w:sz w:val="32"/>
          <w:szCs w:val="32"/>
        </w:rPr>
      </w:pPr>
    </w:p>
    <w:p w:rsidR="0086579D" w:rsidRPr="00912AD2" w:rsidRDefault="0086579D" w:rsidP="0086579D">
      <w:pPr>
        <w:spacing w:line="600" w:lineRule="exact"/>
        <w:rPr>
          <w:rFonts w:ascii="仿宋_GB2312" w:eastAsia="仿宋_GB2312" w:hAnsi="华文仿宋" w:hint="eastAsia"/>
          <w:sz w:val="32"/>
          <w:szCs w:val="32"/>
        </w:rPr>
      </w:pPr>
    </w:p>
    <w:p w:rsidR="00E328D1" w:rsidRPr="00912AD2" w:rsidRDefault="00E328D1" w:rsidP="0086579D">
      <w:pPr>
        <w:spacing w:line="600" w:lineRule="exact"/>
        <w:rPr>
          <w:rFonts w:ascii="仿宋_GB2312" w:eastAsia="仿宋_GB2312" w:hAnsi="华文仿宋" w:hint="eastAsia"/>
          <w:sz w:val="32"/>
          <w:szCs w:val="32"/>
        </w:rPr>
      </w:pPr>
    </w:p>
    <w:p w:rsidR="001D67C7" w:rsidRPr="00912AD2" w:rsidRDefault="0086579D" w:rsidP="0086579D">
      <w:pPr>
        <w:spacing w:line="600" w:lineRule="exact"/>
        <w:rPr>
          <w:rFonts w:ascii="仿宋_GB2312" w:eastAsia="仿宋_GB2312" w:hAnsi="华文仿宋" w:hint="eastAsia"/>
          <w:b/>
          <w:sz w:val="32"/>
          <w:szCs w:val="32"/>
        </w:rPr>
      </w:pPr>
      <w:r w:rsidRPr="00912AD2">
        <w:rPr>
          <w:rFonts w:ascii="仿宋_GB2312" w:eastAsia="仿宋_GB2312" w:hAnsi="华文仿宋" w:hint="eastAsia"/>
          <w:b/>
          <w:sz w:val="32"/>
          <w:szCs w:val="32"/>
        </w:rPr>
        <w:t>附件：</w:t>
      </w:r>
    </w:p>
    <w:p w:rsidR="001D67C7" w:rsidRPr="00912AD2" w:rsidRDefault="001D67C7" w:rsidP="00912AD2">
      <w:pPr>
        <w:spacing w:line="600" w:lineRule="exact"/>
        <w:ind w:firstLineChars="200" w:firstLine="643"/>
        <w:rPr>
          <w:rFonts w:ascii="仿宋_GB2312" w:eastAsia="仿宋_GB2312" w:hAnsi="华文仿宋" w:hint="eastAsia"/>
          <w:b/>
          <w:sz w:val="32"/>
          <w:szCs w:val="32"/>
        </w:rPr>
      </w:pPr>
      <w:r w:rsidRPr="00912AD2">
        <w:rPr>
          <w:rFonts w:ascii="仿宋_GB2312" w:eastAsia="仿宋_GB2312" w:hAnsi="华文仿宋" w:hint="eastAsia"/>
          <w:b/>
          <w:sz w:val="32"/>
          <w:szCs w:val="32"/>
        </w:rPr>
        <w:t>附加放弃比例分摊扩展条款</w:t>
      </w:r>
    </w:p>
    <w:p w:rsidR="001D67C7" w:rsidRPr="00912AD2" w:rsidRDefault="001D67C7"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经双方同意，保险人视本保险合同为足额投保，发生保险责任范围内的损失，保险人在保险金额以内按实际损失计算赔偿，不作比例分摊。若本保险合同所列标的物不止一项时，应逐项分别计算,但保险期间内累计赔偿金额仍以总保险金额为限。</w:t>
      </w:r>
    </w:p>
    <w:p w:rsidR="00BE5366" w:rsidRPr="00912AD2" w:rsidRDefault="001D67C7"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本附加险条款与主险条款内容相悖之处，以本附加险条款为准；未尽之处，以主险条款为准</w:t>
      </w:r>
    </w:p>
    <w:p w:rsidR="007C5BFB" w:rsidRPr="00912AD2" w:rsidRDefault="007C5BFB" w:rsidP="00912AD2">
      <w:pPr>
        <w:spacing w:line="600" w:lineRule="exact"/>
        <w:ind w:firstLineChars="200" w:firstLine="643"/>
        <w:rPr>
          <w:rFonts w:ascii="仿宋_GB2312" w:eastAsia="仿宋_GB2312" w:hAnsi="华文仿宋" w:hint="eastAsia"/>
          <w:b/>
          <w:sz w:val="32"/>
          <w:szCs w:val="32"/>
        </w:rPr>
      </w:pPr>
      <w:r w:rsidRPr="00912AD2">
        <w:rPr>
          <w:rFonts w:ascii="仿宋_GB2312" w:eastAsia="仿宋_GB2312" w:hAnsi="华文仿宋" w:hint="eastAsia"/>
          <w:b/>
          <w:sz w:val="32"/>
          <w:szCs w:val="32"/>
        </w:rPr>
        <w:t>附加传染病条款</w:t>
      </w:r>
    </w:p>
    <w:p w:rsidR="007C5BFB" w:rsidRPr="00912AD2" w:rsidRDefault="007C5BFB"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兹经双方同意，本保险单扩展承保直接由于在保险合同载明的营业场所内被证实有任何人患法定传染病，政府主管部门命令该营业场所全部封闭或隔离，由此导致营业中断或受到干扰。</w:t>
      </w:r>
    </w:p>
    <w:p w:rsidR="007C5BFB" w:rsidRPr="00912AD2" w:rsidRDefault="007C5BFB"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法定传染病是指政府相关部门要求必须向政府相关部门报告的任何人类（接触性）传染病（不包括获得性免疫缺陷综合症，即艾滋病）。</w:t>
      </w:r>
    </w:p>
    <w:p w:rsidR="007C5BFB" w:rsidRPr="00912AD2" w:rsidRDefault="007C5BFB"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lastRenderedPageBreak/>
        <w:t>本条款项下的赔偿期间是指政府主管部门颁令该营业场所封闭或隔离的期间，但不得超过本保险单的最大赔偿期。</w:t>
      </w:r>
    </w:p>
    <w:p w:rsidR="007C5BFB" w:rsidRPr="00912AD2" w:rsidRDefault="007C5BFB"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不管其他附加险条款中如何规定，本条款仅承保本保险单中列明的被保险人的经营场所内发生上述保险事故引起的损失。</w:t>
      </w:r>
    </w:p>
    <w:p w:rsidR="007C5BFB" w:rsidRPr="00912AD2" w:rsidRDefault="007C5BFB"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每次事故是指保险期间内一次法定传染病引起的一次损失或一系列损失。</w:t>
      </w:r>
    </w:p>
    <w:p w:rsidR="00A21905" w:rsidRPr="00912AD2" w:rsidRDefault="007C5BFB"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本保险单所载其他条件不变。</w:t>
      </w:r>
    </w:p>
    <w:p w:rsidR="00A21905" w:rsidRPr="00912AD2" w:rsidRDefault="00A21905" w:rsidP="0086579D">
      <w:pPr>
        <w:spacing w:line="600" w:lineRule="exact"/>
        <w:ind w:firstLineChars="200" w:firstLine="640"/>
        <w:rPr>
          <w:rFonts w:ascii="仿宋_GB2312" w:eastAsia="仿宋_GB2312" w:hAnsi="华文仿宋" w:hint="eastAsia"/>
          <w:sz w:val="32"/>
          <w:szCs w:val="32"/>
        </w:rPr>
      </w:pPr>
      <w:r w:rsidRPr="00912AD2">
        <w:rPr>
          <w:rFonts w:ascii="仿宋_GB2312" w:eastAsia="仿宋_GB2312" w:hAnsi="华文仿宋" w:hint="eastAsia"/>
          <w:sz w:val="32"/>
          <w:szCs w:val="32"/>
        </w:rPr>
        <w:t xml:space="preserve"> </w:t>
      </w:r>
    </w:p>
    <w:sectPr w:rsidR="00A21905" w:rsidRPr="00912AD2" w:rsidSect="00A21905">
      <w:headerReference w:type="default" r:id="rId8"/>
      <w:footerReference w:type="default" r:id="rId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DF" w:rsidRDefault="001933DF" w:rsidP="00BA440C">
      <w:r>
        <w:separator/>
      </w:r>
    </w:p>
  </w:endnote>
  <w:endnote w:type="continuationSeparator" w:id="0">
    <w:p w:rsidR="001933DF" w:rsidRDefault="001933DF" w:rsidP="00BA4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华文仿宋">
    <w:altName w:val="hakuyoxingshu7000"/>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722744"/>
      <w:docPartObj>
        <w:docPartGallery w:val="Page Numbers (Bottom of Page)"/>
        <w:docPartUnique/>
      </w:docPartObj>
    </w:sdtPr>
    <w:sdtContent>
      <w:p w:rsidR="00187CA3" w:rsidRDefault="00DF177E">
        <w:pPr>
          <w:pStyle w:val="a4"/>
          <w:jc w:val="center"/>
        </w:pPr>
        <w:r>
          <w:fldChar w:fldCharType="begin"/>
        </w:r>
        <w:r w:rsidR="00187CA3">
          <w:instrText>PAGE   \* MERGEFORMAT</w:instrText>
        </w:r>
        <w:r>
          <w:fldChar w:fldCharType="separate"/>
        </w:r>
        <w:r w:rsidR="00912AD2" w:rsidRPr="00912AD2">
          <w:rPr>
            <w:noProof/>
            <w:lang w:val="zh-CN"/>
          </w:rPr>
          <w:t>2</w:t>
        </w:r>
        <w:r>
          <w:fldChar w:fldCharType="end"/>
        </w:r>
      </w:p>
    </w:sdtContent>
  </w:sdt>
  <w:p w:rsidR="00187CA3" w:rsidRDefault="00187C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DF" w:rsidRDefault="001933DF" w:rsidP="00BA440C">
      <w:r>
        <w:separator/>
      </w:r>
    </w:p>
  </w:footnote>
  <w:footnote w:type="continuationSeparator" w:id="0">
    <w:p w:rsidR="001933DF" w:rsidRDefault="001933DF" w:rsidP="00BA4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66" w:rsidRDefault="00A93B66" w:rsidP="00A93B66">
    <w:pPr>
      <w:pStyle w:val="a3"/>
      <w:jc w:val="both"/>
    </w:pPr>
    <w:r>
      <w:rPr>
        <w:rFonts w:hint="eastAsia"/>
        <w:noProof/>
      </w:rPr>
      <w:drawing>
        <wp:inline distT="0" distB="0" distL="0" distR="0">
          <wp:extent cx="971550" cy="35096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人民保险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25979" cy="370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3C7C"/>
    <w:multiLevelType w:val="hybridMultilevel"/>
    <w:tmpl w:val="5BE28528"/>
    <w:lvl w:ilvl="0" w:tplc="7F543504">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06A3123"/>
    <w:multiLevelType w:val="hybridMultilevel"/>
    <w:tmpl w:val="4D8C714C"/>
    <w:lvl w:ilvl="0" w:tplc="060E84F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D7054D1"/>
    <w:multiLevelType w:val="hybridMultilevel"/>
    <w:tmpl w:val="F56A920E"/>
    <w:lvl w:ilvl="0" w:tplc="C0F4EEF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A76925"/>
    <w:multiLevelType w:val="hybridMultilevel"/>
    <w:tmpl w:val="254E6328"/>
    <w:lvl w:ilvl="0" w:tplc="756E9442">
      <w:start w:val="1"/>
      <w:numFmt w:val="none"/>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B9F"/>
    <w:rsid w:val="00076454"/>
    <w:rsid w:val="00084325"/>
    <w:rsid w:val="00094B1A"/>
    <w:rsid w:val="000A66EC"/>
    <w:rsid w:val="000C4CFD"/>
    <w:rsid w:val="001161E3"/>
    <w:rsid w:val="00187CA3"/>
    <w:rsid w:val="001933DF"/>
    <w:rsid w:val="00195D70"/>
    <w:rsid w:val="001C3BFC"/>
    <w:rsid w:val="001D50D5"/>
    <w:rsid w:val="001D67C7"/>
    <w:rsid w:val="00251B46"/>
    <w:rsid w:val="00255B7A"/>
    <w:rsid w:val="0026720B"/>
    <w:rsid w:val="00297336"/>
    <w:rsid w:val="002A24C8"/>
    <w:rsid w:val="00324BCD"/>
    <w:rsid w:val="00332311"/>
    <w:rsid w:val="0033661C"/>
    <w:rsid w:val="003A2078"/>
    <w:rsid w:val="003B10E9"/>
    <w:rsid w:val="003C5F49"/>
    <w:rsid w:val="003F0F9D"/>
    <w:rsid w:val="00415910"/>
    <w:rsid w:val="00416888"/>
    <w:rsid w:val="00426C31"/>
    <w:rsid w:val="004634D7"/>
    <w:rsid w:val="00472681"/>
    <w:rsid w:val="00480F91"/>
    <w:rsid w:val="004870BD"/>
    <w:rsid w:val="00491181"/>
    <w:rsid w:val="004D76D7"/>
    <w:rsid w:val="004F5EF1"/>
    <w:rsid w:val="005A13DB"/>
    <w:rsid w:val="005E7E9B"/>
    <w:rsid w:val="00607E39"/>
    <w:rsid w:val="00621880"/>
    <w:rsid w:val="00640F33"/>
    <w:rsid w:val="0064438B"/>
    <w:rsid w:val="00646B9F"/>
    <w:rsid w:val="00715A72"/>
    <w:rsid w:val="007351D9"/>
    <w:rsid w:val="007552A4"/>
    <w:rsid w:val="00762E9E"/>
    <w:rsid w:val="007948D7"/>
    <w:rsid w:val="007C5BFB"/>
    <w:rsid w:val="007E5A47"/>
    <w:rsid w:val="00831D2A"/>
    <w:rsid w:val="00832406"/>
    <w:rsid w:val="00846EE8"/>
    <w:rsid w:val="00857606"/>
    <w:rsid w:val="0086579D"/>
    <w:rsid w:val="00874413"/>
    <w:rsid w:val="008C1851"/>
    <w:rsid w:val="008D6C32"/>
    <w:rsid w:val="008E0DBF"/>
    <w:rsid w:val="00902FDD"/>
    <w:rsid w:val="00912AD2"/>
    <w:rsid w:val="00913284"/>
    <w:rsid w:val="00936BA1"/>
    <w:rsid w:val="009A1EBF"/>
    <w:rsid w:val="009A22E9"/>
    <w:rsid w:val="009C264B"/>
    <w:rsid w:val="009E36E6"/>
    <w:rsid w:val="00A21905"/>
    <w:rsid w:val="00A336EF"/>
    <w:rsid w:val="00A55649"/>
    <w:rsid w:val="00A74A82"/>
    <w:rsid w:val="00A93B66"/>
    <w:rsid w:val="00AA6FB0"/>
    <w:rsid w:val="00AB40AD"/>
    <w:rsid w:val="00AD3ECE"/>
    <w:rsid w:val="00B0550B"/>
    <w:rsid w:val="00B23CB2"/>
    <w:rsid w:val="00B51647"/>
    <w:rsid w:val="00B5747A"/>
    <w:rsid w:val="00B720A3"/>
    <w:rsid w:val="00B82CBF"/>
    <w:rsid w:val="00BA440C"/>
    <w:rsid w:val="00BA7236"/>
    <w:rsid w:val="00BC5898"/>
    <w:rsid w:val="00BE5366"/>
    <w:rsid w:val="00C3281E"/>
    <w:rsid w:val="00C4091E"/>
    <w:rsid w:val="00C53188"/>
    <w:rsid w:val="00CD15C6"/>
    <w:rsid w:val="00CF1631"/>
    <w:rsid w:val="00CF1A26"/>
    <w:rsid w:val="00D417DB"/>
    <w:rsid w:val="00D75C1C"/>
    <w:rsid w:val="00DF177E"/>
    <w:rsid w:val="00E04E21"/>
    <w:rsid w:val="00E328D1"/>
    <w:rsid w:val="00EA7C6E"/>
    <w:rsid w:val="00EC35C3"/>
    <w:rsid w:val="00EE70D9"/>
    <w:rsid w:val="00F26C85"/>
    <w:rsid w:val="00F36AA9"/>
    <w:rsid w:val="00F559A7"/>
    <w:rsid w:val="00F92252"/>
    <w:rsid w:val="00F95FBD"/>
    <w:rsid w:val="00FA673D"/>
    <w:rsid w:val="00FB3151"/>
    <w:rsid w:val="00FD3A2D"/>
    <w:rsid w:val="00FF0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440C"/>
    <w:rPr>
      <w:sz w:val="18"/>
      <w:szCs w:val="18"/>
    </w:rPr>
  </w:style>
  <w:style w:type="paragraph" w:styleId="a4">
    <w:name w:val="footer"/>
    <w:basedOn w:val="a"/>
    <w:link w:val="Char0"/>
    <w:uiPriority w:val="99"/>
    <w:unhideWhenUsed/>
    <w:rsid w:val="00BA440C"/>
    <w:pPr>
      <w:tabs>
        <w:tab w:val="center" w:pos="4153"/>
        <w:tab w:val="right" w:pos="8306"/>
      </w:tabs>
      <w:snapToGrid w:val="0"/>
      <w:jc w:val="left"/>
    </w:pPr>
    <w:rPr>
      <w:sz w:val="18"/>
      <w:szCs w:val="18"/>
    </w:rPr>
  </w:style>
  <w:style w:type="character" w:customStyle="1" w:styleId="Char0">
    <w:name w:val="页脚 Char"/>
    <w:basedOn w:val="a0"/>
    <w:link w:val="a4"/>
    <w:uiPriority w:val="99"/>
    <w:rsid w:val="00BA440C"/>
    <w:rPr>
      <w:sz w:val="18"/>
      <w:szCs w:val="18"/>
    </w:rPr>
  </w:style>
  <w:style w:type="paragraph" w:styleId="a5">
    <w:name w:val="Normal (Web)"/>
    <w:basedOn w:val="a"/>
    <w:uiPriority w:val="99"/>
    <w:unhideWhenUsed/>
    <w:rsid w:val="00831D2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C35C3"/>
    <w:rPr>
      <w:sz w:val="18"/>
      <w:szCs w:val="18"/>
    </w:rPr>
  </w:style>
  <w:style w:type="character" w:customStyle="1" w:styleId="Char1">
    <w:name w:val="批注框文本 Char"/>
    <w:basedOn w:val="a0"/>
    <w:link w:val="a6"/>
    <w:uiPriority w:val="99"/>
    <w:semiHidden/>
    <w:rsid w:val="00EC35C3"/>
    <w:rPr>
      <w:sz w:val="18"/>
      <w:szCs w:val="18"/>
    </w:rPr>
  </w:style>
  <w:style w:type="character" w:customStyle="1" w:styleId="Char2">
    <w:name w:val="正文缩进 Char"/>
    <w:link w:val="a7"/>
    <w:qFormat/>
    <w:rsid w:val="00EC35C3"/>
    <w:rPr>
      <w:rFonts w:ascii="Times New Roman" w:eastAsia="宋体" w:hAnsi="Times New Roman" w:cs="Times New Roman"/>
      <w:kern w:val="0"/>
      <w:sz w:val="20"/>
      <w:szCs w:val="20"/>
    </w:rPr>
  </w:style>
  <w:style w:type="paragraph" w:styleId="a7">
    <w:name w:val="Normal Indent"/>
    <w:basedOn w:val="a"/>
    <w:link w:val="Char2"/>
    <w:qFormat/>
    <w:rsid w:val="00EC35C3"/>
    <w:pPr>
      <w:widowControl/>
      <w:ind w:firstLine="420"/>
      <w:jc w:val="left"/>
    </w:pPr>
    <w:rPr>
      <w:rFonts w:ascii="Times New Roman" w:eastAsia="宋体" w:hAnsi="Times New Roman" w:cs="Times New Roman"/>
      <w:kern w:val="0"/>
      <w:sz w:val="20"/>
      <w:szCs w:val="20"/>
    </w:rPr>
  </w:style>
  <w:style w:type="paragraph" w:styleId="2">
    <w:name w:val="Body Text 2"/>
    <w:basedOn w:val="a"/>
    <w:link w:val="2Char"/>
    <w:rsid w:val="00D75C1C"/>
    <w:rPr>
      <w:rFonts w:ascii="仿宋_GB2312" w:eastAsia="仿宋_GB2312" w:hAnsi="Times New Roman" w:cs="Times New Roman"/>
      <w:b/>
      <w:sz w:val="28"/>
      <w:szCs w:val="20"/>
    </w:rPr>
  </w:style>
  <w:style w:type="character" w:customStyle="1" w:styleId="2Char">
    <w:name w:val="正文文本 2 Char"/>
    <w:basedOn w:val="a0"/>
    <w:link w:val="2"/>
    <w:rsid w:val="00D75C1C"/>
    <w:rPr>
      <w:rFonts w:ascii="仿宋_GB2312" w:eastAsia="仿宋_GB2312" w:hAnsi="Times New Roman" w:cs="Times New Roman"/>
      <w:b/>
      <w:sz w:val="28"/>
      <w:szCs w:val="20"/>
    </w:rPr>
  </w:style>
  <w:style w:type="paragraph" w:styleId="a8">
    <w:name w:val="List Paragraph"/>
    <w:basedOn w:val="a"/>
    <w:uiPriority w:val="34"/>
    <w:qFormat/>
    <w:rsid w:val="00076454"/>
    <w:pPr>
      <w:ind w:firstLineChars="200" w:firstLine="420"/>
    </w:pPr>
  </w:style>
  <w:style w:type="character" w:customStyle="1" w:styleId="fontstyle01">
    <w:name w:val="fontstyle01"/>
    <w:basedOn w:val="a0"/>
    <w:rsid w:val="00832406"/>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9771003">
      <w:bodyDiv w:val="1"/>
      <w:marLeft w:val="0"/>
      <w:marRight w:val="0"/>
      <w:marTop w:val="0"/>
      <w:marBottom w:val="0"/>
      <w:divBdr>
        <w:top w:val="none" w:sz="0" w:space="0" w:color="auto"/>
        <w:left w:val="none" w:sz="0" w:space="0" w:color="auto"/>
        <w:bottom w:val="none" w:sz="0" w:space="0" w:color="auto"/>
        <w:right w:val="none" w:sz="0" w:space="0" w:color="auto"/>
      </w:divBdr>
    </w:div>
    <w:div w:id="404689800">
      <w:bodyDiv w:val="1"/>
      <w:marLeft w:val="0"/>
      <w:marRight w:val="0"/>
      <w:marTop w:val="0"/>
      <w:marBottom w:val="0"/>
      <w:divBdr>
        <w:top w:val="none" w:sz="0" w:space="0" w:color="auto"/>
        <w:left w:val="none" w:sz="0" w:space="0" w:color="auto"/>
        <w:bottom w:val="none" w:sz="0" w:space="0" w:color="auto"/>
        <w:right w:val="none" w:sz="0" w:space="0" w:color="auto"/>
      </w:divBdr>
    </w:div>
    <w:div w:id="775491201">
      <w:bodyDiv w:val="1"/>
      <w:marLeft w:val="0"/>
      <w:marRight w:val="0"/>
      <w:marTop w:val="0"/>
      <w:marBottom w:val="0"/>
      <w:divBdr>
        <w:top w:val="none" w:sz="0" w:space="0" w:color="auto"/>
        <w:left w:val="none" w:sz="0" w:space="0" w:color="auto"/>
        <w:bottom w:val="none" w:sz="0" w:space="0" w:color="auto"/>
        <w:right w:val="none" w:sz="0" w:space="0" w:color="auto"/>
      </w:divBdr>
    </w:div>
    <w:div w:id="838808095">
      <w:bodyDiv w:val="1"/>
      <w:marLeft w:val="0"/>
      <w:marRight w:val="0"/>
      <w:marTop w:val="0"/>
      <w:marBottom w:val="0"/>
      <w:divBdr>
        <w:top w:val="none" w:sz="0" w:space="0" w:color="auto"/>
        <w:left w:val="none" w:sz="0" w:space="0" w:color="auto"/>
        <w:bottom w:val="none" w:sz="0" w:space="0" w:color="auto"/>
        <w:right w:val="none" w:sz="0" w:space="0" w:color="auto"/>
      </w:divBdr>
    </w:div>
    <w:div w:id="17662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B9C0-DAE8-4F84-8105-F17DFF2F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298</Words>
  <Characters>1700</Characters>
  <Application>Microsoft Office Word</Application>
  <DocSecurity>0</DocSecurity>
  <Lines>14</Lines>
  <Paragraphs>3</Paragraphs>
  <ScaleCrop>false</ScaleCrop>
  <Company>Lenovo</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李芃桥</dc:creator>
  <cp:lastModifiedBy>肖江</cp:lastModifiedBy>
  <cp:revision>12</cp:revision>
  <cp:lastPrinted>2020-02-18T06:48:00Z</cp:lastPrinted>
  <dcterms:created xsi:type="dcterms:W3CDTF">2020-02-19T10:29:00Z</dcterms:created>
  <dcterms:modified xsi:type="dcterms:W3CDTF">2020-02-21T08:10:00Z</dcterms:modified>
</cp:coreProperties>
</file>